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3593" w:rsidR="00682F5C" w:rsidP="003C3593" w:rsidRDefault="00682F5C" w14:paraId="73DA8B9F" w14:textId="2837F1AD"/>
    <w:p w:rsidRPr="003C3593" w:rsidR="00682F5C" w:rsidP="3D99379F" w:rsidRDefault="00682F5C" w14:paraId="04E6788A" w14:noSpellErr="1" w14:textId="172DACB3">
      <w:pPr>
        <w:pStyle w:val="Normal"/>
        <w:jc w:val="left"/>
        <w:rPr>
          <w:u w:val="single"/>
        </w:rPr>
      </w:pPr>
      <w:r w:rsidR="14920114">
        <w:rPr>
          <w:u w:val="none"/>
        </w:rPr>
        <w:t>VICARIOUS LIABILITY &amp; CONTRACT FLOW-DOWN PROVISIONS</w:t>
      </w:r>
    </w:p>
    <w:p w:rsidRPr="003C3593" w:rsidR="00682F5C" w:rsidP="003C3593" w:rsidRDefault="00682F5C" w14:paraId="2A387DC8" w14:textId="7BCF417F">
      <w:r w:rsidRPr="003C3593">
        <w:t>In the architectural and engineering (A/E) profession, vicarious liability refers to the legal principle under which a firm may be held responsible for the negligent acts, errors, or omissions of others performing services on its behalf, even if the firm did not directly commit the wrongful act. This concept is particularly significant in professional services contracts, where responsibility for design coordination, integration, and delivery is often centralized in a single entity. In most projects, that entity is the Prime consultant.</w:t>
      </w:r>
    </w:p>
    <w:p w:rsidRPr="003C3593" w:rsidR="00682F5C" w:rsidP="003C3593" w:rsidRDefault="00682F5C" w14:paraId="6FBFE85D" w14:textId="1CC59D33">
      <w:r w:rsidRPr="003C3593">
        <w:t>Vicarious liability most commonly arises in the context of Prime consultant (Prime)</w:t>
      </w:r>
      <w:r w:rsidR="00A724F2">
        <w:t xml:space="preserve"> to </w:t>
      </w:r>
      <w:r w:rsidRPr="003C3593">
        <w:t>Subconsultant (Subconsultant) arrangements, in which the Prime contracts directly with the owner and retains Subconsultants to perform discrete portions of the professional services. Because the Prime is typically contractually responsible for the overall delivery of professional services, owners and third parties frequently seek to impose liability on the Prime for the negligence of Subconsultants under theories of agency, control, apparent authority, or contractual assumption of responsibility. As a result, vicarious liability is a central risk-management concern in A/E practice and directly informs how professional services agreements are structured.</w:t>
      </w:r>
    </w:p>
    <w:p w:rsidRPr="003C3593" w:rsidR="00682F5C" w:rsidP="003C3593" w:rsidRDefault="00682F5C" w14:paraId="13E48D48" w14:textId="758DCEA7">
      <w:r w:rsidRPr="003C3593">
        <w:t xml:space="preserve">From a practical standpoint, vicarious liability in the A/E context is often less about identifying which party committed a technical error and more about how responsibility was allocated by contract. Owners typically pursue claims against the Prime because the Prime is the party in contractual privity, is perceived as exercising overall coordination authority, and is often better capitalized and insured. Even where a Subconsultant’s services are highly specialized or narrowly defined, the Prime may still face allegations that it failed to manage, oversee, coordinate, or properly integrate the Subconsultant’s work into the overall design. </w:t>
      </w:r>
      <w:proofErr w:type="gramStart"/>
      <w:r w:rsidRPr="003C3593">
        <w:t>This dynamic underscores</w:t>
      </w:r>
      <w:proofErr w:type="gramEnd"/>
      <w:r w:rsidRPr="003C3593">
        <w:t xml:space="preserve"> the reality that vicarious liability exposure is shaped as much by contractual language as by professional performance.</w:t>
      </w:r>
    </w:p>
    <w:p w:rsidRPr="003C3593" w:rsidR="00682F5C" w:rsidP="003C3593" w:rsidRDefault="00682F5C" w14:paraId="2ACAF24D" w14:textId="420CB8BB">
      <w:r w:rsidRPr="003C3593">
        <w:t>Contract flow-down provisions are clauses in a Prime or Subconsultant agreement that require a lower-tier party to assume certain obligations that the Prime owes to the owner or client under the prime agreement. In practical terms, flow-down provisions are the contractual mechanism by which responsibilities, standards, and risk are passed “down the chain” from the owner to the Prime, from the Prime to its Subconsultants, and from a Subconsultant to its own lower-tier consultants. In some projects, owners are themselves subject to obligations imposed by lenders, tenants, insurers, or governmental authorities, which are then incorporated into the Prime agreement and passed down through the consultant team.</w:t>
      </w:r>
    </w:p>
    <w:p w:rsidRPr="003C3593" w:rsidR="00682F5C" w:rsidP="003C3593" w:rsidRDefault="00682F5C" w14:paraId="46BE322A" w14:textId="77777777">
      <w:r w:rsidRPr="003C3593">
        <w:t>Flow-down clauses are a common feature in design professional agreements, particularly on large or complex projects involving multiple disciplines and tiers of consultants. The concept of contractual consistency across the consultant team may appear logical and efficient. However, while uniformity can be beneficial in theory, flow-down provisions that are not carefully tailored can produce unintended and undesirable results. Provisions drafted to address the Prime’s role may be ill-suited for Subconsultants with limited scope, limited control, and different professional obligations.</w:t>
      </w:r>
    </w:p>
    <w:p w:rsidRPr="003C3593" w:rsidR="00682F5C" w:rsidP="003C3593" w:rsidRDefault="00682F5C" w14:paraId="099745F6" w14:textId="77777777"/>
    <w:p w:rsidRPr="003C3593" w:rsidR="00682F5C" w:rsidP="003C3593" w:rsidRDefault="00682F5C" w14:paraId="0B639389" w14:textId="653449CC">
      <w:r w:rsidRPr="003C3593">
        <w:lastRenderedPageBreak/>
        <w:t>In practice, flow-down provisions often receive less attention than more visibly negotiated terms such as fee, scope, or schedule, yet they frequently carry greater long-term risk. Flow-down clauses typically operate by incorporation rather than restatement, meaning critical obligations are accepted by reference without being clearly identified or fully understood. As projects become more complex</w:t>
      </w:r>
      <w:r w:rsidR="00A724F2">
        <w:t xml:space="preserve">, </w:t>
      </w:r>
      <w:r w:rsidRPr="003C3593">
        <w:t>with layered consultant teams, fast-track delivery methods, design delegation, and increasing reliance on specialty disciplines</w:t>
      </w:r>
      <w:r w:rsidR="00A724F2">
        <w:t xml:space="preserve">, </w:t>
      </w:r>
      <w:r w:rsidRPr="003C3593">
        <w:t>the consequences of misaligned flow-down provisions become magnified. What might once have been a manageable contractual formality can quickly become a source of uninsured exposure.</w:t>
      </w:r>
    </w:p>
    <w:p w:rsidRPr="003C3593" w:rsidR="00682F5C" w:rsidP="003C3593" w:rsidRDefault="00682F5C" w14:paraId="74A84E16" w14:textId="0AFA2285">
      <w:r w:rsidRPr="003C3593">
        <w:t>Compounding this risk is the reality that claims in the A/E industry are often asserted years after services are performed, when project personnel have changed, records are incomplete, and institutional knowledge has faded. In those circumstances, the written contract becomes the primary evidence of responsibility allocation. Flow-down provisions accepted casually at contract execution may later dictate outcomes in disputes over liability, defense obligations, indemnity, or contribution. For this reason, careful attention to flow-down language is not merely a legal exercise; it is a foundational element of professional practice management.</w:t>
      </w:r>
    </w:p>
    <w:p w:rsidRPr="003C3593" w:rsidR="00682F5C" w:rsidP="003C3593" w:rsidRDefault="00682F5C" w14:paraId="67F77ED7" w14:textId="390B0529">
      <w:r w:rsidRPr="003C3593">
        <w:t>Signing a contract without reviewing the flow-down provisions is one of the most common and costly mistakes made in architectural and engineering practice. Flow-down clauses quietly determine which upstream obligations in the owner or Prime agreement are imposed on the consultant or Subconsultant, often without restating the actual language being incorporated. When accepted without scrutiny, a firm may unknowingly assume responsibilities that far exceed its scope of services, professional standard of care, or insurance coverage.</w:t>
      </w:r>
    </w:p>
    <w:p w:rsidRPr="003C3593" w:rsidR="00682F5C" w:rsidP="003C3593" w:rsidRDefault="00682F5C" w14:paraId="0B5EF7B0" w14:textId="76D1BC40">
      <w:r w:rsidRPr="003C3593">
        <w:t>The danger is not theoretical. Overbroad flow-down language can import heightened standards of care, warranties, schedule guarantees, fitness-for-purpose obligations, construction-phase responsibilities, or site-safety duties that the firm does not control and cannot insure. Because claims are frequently asserted against the Prime regardless of fault, poorly reviewed flow-down provisions can expand vicarious liability and leave the firm defending breach-of-contract claims that fall outside professional liability coverage. Reviewing flow-down provisions is therefore not a procedural formality; it is a core risk-management step that protects the firm from unknowingly accepting obligations it neither priced, controlled, nor intended to assume.</w:t>
      </w:r>
    </w:p>
    <w:p w:rsidRPr="003C3593" w:rsidR="00682F5C" w:rsidP="003C3593" w:rsidRDefault="00682F5C" w14:paraId="16735C8C" w14:textId="70C0B7DD">
      <w:r w:rsidRPr="003C3593">
        <w:t>PERSPECTIVE OF THE PRIME CONSULTANT</w:t>
      </w:r>
    </w:p>
    <w:p w:rsidRPr="003C3593" w:rsidR="00682F5C" w:rsidP="003C3593" w:rsidRDefault="00682F5C" w14:paraId="62B223A0" w14:textId="554171A8">
      <w:r w:rsidRPr="003C3593">
        <w:t>From the Prime’s perspective, flow-down provisions are intended ensure that Subconsultant performance allows the Prime to satisfy its contractual obligations to the owner. The Prime remains the party of record and is often the first target of any claim, regardless of which discipline performed the work. Accordingly, the Prime has a legitimate interest in requiring Subconsultants to comply with applicable owner requirements that directly relate to their scope of services, maintain appropriate insurance, and perform services consistent with the professional standard of care.</w:t>
      </w:r>
    </w:p>
    <w:p w:rsidRPr="003C3593" w:rsidR="00682F5C" w:rsidP="003C3593" w:rsidRDefault="00682F5C" w14:paraId="3E13C86C" w14:textId="74C5552F">
      <w:r w:rsidRPr="003C3593">
        <w:t>From a risk</w:t>
      </w:r>
      <w:r w:rsidR="00A724F2">
        <w:t xml:space="preserve"> </w:t>
      </w:r>
      <w:r w:rsidRPr="003C3593">
        <w:t xml:space="preserve">management standpoint, the Prime’s objective is alignment. The Prime must ensure that its downstream agreements support, rather than undermine, its upstream obligations. Gaps between what the Prime promises the owner and what Subconsultants are obligated to deliver create exposure that the Prime must absorb. Properly drafted flow-down provisions help close those gaps by ensuring that </w:t>
      </w:r>
      <w:r w:rsidRPr="003C3593">
        <w:lastRenderedPageBreak/>
        <w:t>Subconsultants are contractually bound to perform their scopes in a manner consistent with the Prime agreement.</w:t>
      </w:r>
    </w:p>
    <w:p w:rsidRPr="003C3593" w:rsidR="00682F5C" w:rsidP="003C3593" w:rsidRDefault="00682F5C" w14:paraId="5591E705" w14:textId="28ED771C">
      <w:r w:rsidRPr="003C3593">
        <w:t>At the same time, experienced Primes recognize that overbroad flow-down language can be counterproductive. Imposing obligations that exceed a Subconsultant’s scope, control, or insurability can increase fees, discourage qualified Subconsultants from participating, and weaken the Prime’s defensibility by creating obligations that no party can realistically satisfy. Effective flow-down provisions balance protection with practicality.</w:t>
      </w:r>
    </w:p>
    <w:p w:rsidRPr="003C3593" w:rsidR="00682F5C" w:rsidP="003C3593" w:rsidRDefault="00682F5C" w14:paraId="3544A2ED" w14:textId="38FF369A">
      <w:r w:rsidRPr="003C3593">
        <w:t>Flow-down provisions also play a critical role in claims handling and dispute resolution. When a claim arises, the Prime’s ability to tender the claim, invoke insurance coverage, or enforce contractual remedies often hinges on whether the Subconsultant clearly assumed responsibility for the services at issue. Ambiguous or poorly drafted flow-down provisions can fracture the consultant team and transform a defensible claim into an internal dispute.</w:t>
      </w:r>
    </w:p>
    <w:p w:rsidRPr="003C3593" w:rsidR="00682F5C" w:rsidP="003C3593" w:rsidRDefault="00682F5C" w14:paraId="05614B9F" w14:textId="31DE8C16">
      <w:r w:rsidRPr="003C3593">
        <w:t xml:space="preserve">Primes must also consider the relational and reputational implications of flow-down clauses. Design </w:t>
      </w:r>
      <w:proofErr w:type="gramStart"/>
      <w:r w:rsidRPr="003C3593">
        <w:t>teams</w:t>
      </w:r>
      <w:proofErr w:type="gramEnd"/>
      <w:r w:rsidRPr="003C3593">
        <w:t xml:space="preserve"> function most effectively when expectations are clearly defined and perceived as fair. Overreaching provisions can undermine collaboration and increase the likelihood that disputes escalate into formal claims. For this reason, experienced Primes treat flow-down negotiation as an element of project leadership rather than a purely legal exercise.</w:t>
      </w:r>
    </w:p>
    <w:p w:rsidRPr="003C3593" w:rsidR="00682F5C" w:rsidP="003C3593" w:rsidRDefault="00682F5C" w14:paraId="68A6071F" w14:textId="4AB0BAE6">
      <w:r w:rsidRPr="003C3593">
        <w:t>Key Prime Consultant Negotiation Points</w:t>
      </w:r>
      <w:r w:rsidR="00A724F2">
        <w:t>:</w:t>
      </w:r>
    </w:p>
    <w:p w:rsidRPr="003C3593" w:rsidR="00682F5C" w:rsidP="00A724F2" w:rsidRDefault="00682F5C" w14:paraId="446C0F7F" w14:textId="2531A854">
      <w:pPr>
        <w:pStyle w:val="ListParagraph"/>
        <w:numPr>
          <w:ilvl w:val="0"/>
          <w:numId w:val="3"/>
        </w:numPr>
      </w:pPr>
      <w:r w:rsidRPr="003C3593">
        <w:t>Flow down prime agreement obligations only to the extent they relate to the Subconsultant’s scope of services.</w:t>
      </w:r>
    </w:p>
    <w:p w:rsidRPr="003C3593" w:rsidR="00682F5C" w:rsidP="00A724F2" w:rsidRDefault="00682F5C" w14:paraId="009B5B46" w14:textId="6AC466E8">
      <w:pPr>
        <w:pStyle w:val="ListParagraph"/>
        <w:numPr>
          <w:ilvl w:val="0"/>
          <w:numId w:val="3"/>
        </w:numPr>
      </w:pPr>
      <w:r w:rsidRPr="003C3593">
        <w:t>Ensure Subconsultants assume responsibility for their work consistent with the Prime’s obligations to the owner.</w:t>
      </w:r>
    </w:p>
    <w:p w:rsidRPr="003C3593" w:rsidR="00682F5C" w:rsidP="00A724F2" w:rsidRDefault="00682F5C" w14:paraId="630941A1" w14:textId="5A3573E1">
      <w:pPr>
        <w:pStyle w:val="ListParagraph"/>
        <w:numPr>
          <w:ilvl w:val="0"/>
          <w:numId w:val="3"/>
        </w:numPr>
      </w:pPr>
      <w:r w:rsidRPr="003C3593">
        <w:t xml:space="preserve">Preserve </w:t>
      </w:r>
      <w:proofErr w:type="gramStart"/>
      <w:r w:rsidRPr="003C3593">
        <w:t>the Prime’s</w:t>
      </w:r>
      <w:proofErr w:type="gramEnd"/>
      <w:r w:rsidRPr="003C3593">
        <w:t xml:space="preserve"> rights and remedies parallel to the owner’s rights against </w:t>
      </w:r>
      <w:proofErr w:type="gramStart"/>
      <w:r w:rsidRPr="003C3593">
        <w:t>the Prime</w:t>
      </w:r>
      <w:proofErr w:type="gramEnd"/>
      <w:r w:rsidRPr="003C3593">
        <w:t>.</w:t>
      </w:r>
    </w:p>
    <w:p w:rsidRPr="003C3593" w:rsidR="00682F5C" w:rsidP="00A724F2" w:rsidRDefault="00682F5C" w14:paraId="0AB190FC" w14:textId="1000958C">
      <w:pPr>
        <w:pStyle w:val="ListParagraph"/>
        <w:numPr>
          <w:ilvl w:val="0"/>
          <w:numId w:val="3"/>
        </w:numPr>
      </w:pPr>
      <w:r w:rsidRPr="003C3593">
        <w:t>Flow down schedule, coordination, and cooperation obligations only as reasonably applicable.</w:t>
      </w:r>
    </w:p>
    <w:p w:rsidRPr="003C3593" w:rsidR="00682F5C" w:rsidP="00A724F2" w:rsidRDefault="00682F5C" w14:paraId="652355BB" w14:textId="5C9079C4">
      <w:pPr>
        <w:pStyle w:val="ListParagraph"/>
        <w:numPr>
          <w:ilvl w:val="0"/>
          <w:numId w:val="3"/>
        </w:numPr>
      </w:pPr>
      <w:r w:rsidRPr="003C3593">
        <w:t>Avoid assuming Subconsultant liability through vague or overbroad incorporation language.</w:t>
      </w:r>
    </w:p>
    <w:p w:rsidRPr="003C3593" w:rsidR="00682F5C" w:rsidP="00A724F2" w:rsidRDefault="00682F5C" w14:paraId="7779111C" w14:textId="703F414C">
      <w:pPr>
        <w:pStyle w:val="ListParagraph"/>
        <w:numPr>
          <w:ilvl w:val="0"/>
          <w:numId w:val="3"/>
        </w:numPr>
      </w:pPr>
      <w:r w:rsidRPr="003C3593">
        <w:t>Require insurance coverage appropriate to the Subconsultant’s scope and role.</w:t>
      </w:r>
    </w:p>
    <w:p w:rsidRPr="003C3593" w:rsidR="00682F5C" w:rsidP="00A724F2" w:rsidRDefault="00682F5C" w14:paraId="7A9260B8" w14:textId="3AB7FCFA">
      <w:pPr>
        <w:pStyle w:val="ListParagraph"/>
        <w:numPr>
          <w:ilvl w:val="0"/>
          <w:numId w:val="3"/>
        </w:numPr>
      </w:pPr>
      <w:r w:rsidRPr="003C3593">
        <w:t>Use flow-down provisions to support defensibility and fair claims allocation, not punitive risk transfer.</w:t>
      </w:r>
    </w:p>
    <w:p w:rsidRPr="003C3593" w:rsidR="00682F5C" w:rsidP="003C3593" w:rsidRDefault="00682F5C" w14:paraId="5B5305E3" w14:textId="5ABFCF4D">
      <w:r w:rsidRPr="003C3593">
        <w:t>REAL-WORLD CLAIM SCENARIOS INVOLVING FLOW-DOWN PROVISIONS</w:t>
      </w:r>
    </w:p>
    <w:p w:rsidRPr="003C3593" w:rsidR="00682F5C" w:rsidP="003C3593" w:rsidRDefault="00682F5C" w14:paraId="29469CC5" w14:textId="0B80A7AD">
      <w:r w:rsidRPr="003C3593">
        <w:t>The consequences of poorly drafted or poorly understood flow-down provisions are best illustrated through real-world claim scenarios commonly encountered in A/E practice.</w:t>
      </w:r>
    </w:p>
    <w:p w:rsidRPr="003C3593" w:rsidR="00682F5C" w:rsidP="003C3593" w:rsidRDefault="00682F5C" w14:paraId="2DF5CBF6" w14:textId="61AD3E22">
      <w:r w:rsidRPr="003C3593">
        <w:t xml:space="preserve">A frequent scenario involves a Prime retained for full professional services on a complex project, with multiple Subconsultants engaged for specialty disciplines. A design error originates within a Subconsultant’s scope, yet the owner asserts </w:t>
      </w:r>
      <w:proofErr w:type="gramStart"/>
      <w:r w:rsidRPr="003C3593">
        <w:t>claims</w:t>
      </w:r>
      <w:proofErr w:type="gramEnd"/>
      <w:r w:rsidRPr="003C3593">
        <w:t xml:space="preserve"> exclusively against the Prime, emphasizing its expectation of a complete and coordinated design. If the Subconsultant agreement lacks clear, scope-based flow-down language, the Prime may face difficulty enforcing downstream responsibility, particularly where Subconsultant obligations are misaligned with the Prime’s commitments to the owner.</w:t>
      </w:r>
    </w:p>
    <w:p w:rsidRPr="003C3593" w:rsidR="00682F5C" w:rsidP="003C3593" w:rsidRDefault="00682F5C" w14:paraId="5A38D9D4" w14:textId="05767E0B">
      <w:r w:rsidRPr="003C3593">
        <w:lastRenderedPageBreak/>
        <w:t>Another common scenario arises when heightened performance language in the Prime agreement</w:t>
      </w:r>
      <w:r w:rsidR="003A4D59">
        <w:t xml:space="preserve">, </w:t>
      </w:r>
      <w:r w:rsidRPr="003C3593">
        <w:t>such as “highest professional standards” or “error-free documents</w:t>
      </w:r>
      <w:r w:rsidR="003A4D59">
        <w:t xml:space="preserve">,” </w:t>
      </w:r>
      <w:r w:rsidRPr="003C3593">
        <w:t>is incorporated wholesale into the Subconsultant agreement. When design revisions or delays occur, the Prime may assert breach-of-contract claims against the Subconsultant rather than negligence. Subconsultant professional liability insurers often dispute coverage in such cases, arguing that the claims arise from contractual standards exceeding the professional standard of care, leaving the Prime exposed to uninsured risk.</w:t>
      </w:r>
    </w:p>
    <w:p w:rsidRPr="003C3593" w:rsidR="00682F5C" w:rsidP="003C3593" w:rsidRDefault="00682F5C" w14:paraId="5124196B" w14:textId="79052B48">
      <w:r w:rsidRPr="003C3593">
        <w:t>Construction-phase disputes present additional challenges. Flow-down provisions may inadvertently impose responsibilities related to site safety, means and methods, or construction coordination. When construction issues arise, the Prime is sued by the owner or contractor and tenders the claim to the Subconsultant. The Subconsultant disputes responsibility, citing lack of control and insurability. The resulting dispute frequently shifts focus from defending the claim to litigating contractual responsibility among consultants.</w:t>
      </w:r>
    </w:p>
    <w:p w:rsidRPr="003C3593" w:rsidR="00682F5C" w:rsidP="003C3593" w:rsidRDefault="00682F5C" w14:paraId="4121513D" w14:textId="565A6889">
      <w:r w:rsidRPr="003C3593">
        <w:t>Indemnity provisions also generate recurring disputes. Broad indemnity language tied to contractual breach rather than negligence may be flowed down without modification, leading Subconsultants to unknowingly assume obligations far beyond their insurable risk. After a claim arises, courts and insurers often scrutinize the language, sometimes finding the allocation of risk unclear or unenforceable.</w:t>
      </w:r>
    </w:p>
    <w:p w:rsidRPr="003C3593" w:rsidR="00682F5C" w:rsidP="003C3593" w:rsidRDefault="00682F5C" w14:paraId="5EF90496" w14:textId="0D37A550">
      <w:r w:rsidRPr="003C3593">
        <w:t>These scenarios demonstrate a consistent lesson: flow-down provisions that are overly broad or poorly tailored tend to increase risk rather than allocate it effectively. Clear, scope-based provisions tied to professional negligence principles are far more likely to support efficient claims resolution and preserve insurance coverage.</w:t>
      </w:r>
    </w:p>
    <w:p w:rsidRPr="003C3593" w:rsidR="00682F5C" w:rsidP="003C3593" w:rsidRDefault="00682F5C" w14:paraId="1DED1360" w14:textId="65692184">
      <w:r w:rsidRPr="003C3593">
        <w:t>PERSPECTIVE OF THE SUBCONSULTANT</w:t>
      </w:r>
    </w:p>
    <w:p w:rsidRPr="003C3593" w:rsidR="00682F5C" w:rsidP="003C3593" w:rsidRDefault="00682F5C" w14:paraId="30CCC46A" w14:textId="15A65B2F">
      <w:r w:rsidRPr="003C3593">
        <w:t>From the Subconsultant’s perspective, flow-down provisions must reflect the realities of limited scope, limited control, and professional licensure constraints. Subconsultants do not contract directly with the owner, do not control overall project delivery, and typically maintain professional liability insurance calibrated to their specific discipline and role. Broad provisions requiring a Subconsultant to assume “all obligations” of the Prime can unintentionally impose responsibilities unrelated to the services performed.</w:t>
      </w:r>
    </w:p>
    <w:p w:rsidRPr="003C3593" w:rsidR="00682F5C" w:rsidP="003C3593" w:rsidRDefault="00682F5C" w14:paraId="6FFDEE3F" w14:textId="2ACDB82B">
      <w:r w:rsidRPr="003C3593">
        <w:t>Flow-down provisions are typically negotiated first between the owner and the Prime, placing Subconsultants at a structural disadvantage. Subconsultants often lack bargaining power, were not involved in the original negotiations, and may not be fully aware of the obligations being incorporated by reference. As a result, Subconsultants can find themselves bound to terms that affect them very differently than the Prime who negotiated them.</w:t>
      </w:r>
    </w:p>
    <w:p w:rsidRPr="003C3593" w:rsidR="00682F5C" w:rsidP="003C3593" w:rsidRDefault="00682F5C" w14:paraId="3CFF928A" w14:textId="311F15C0">
      <w:r w:rsidRPr="003C3593">
        <w:t>From the Subconsultant’s perspective, flow-down provisions should function as a measured allocation of responsibility, not as a wholesale transfer of the Prime’s contractual risk. Properly tailored flow-down language promotes clarity, preserves insurability, and supports a collaborative working relationship.</w:t>
      </w:r>
    </w:p>
    <w:p w:rsidRPr="003C3593" w:rsidR="00682F5C" w:rsidP="003C3593" w:rsidRDefault="00682F5C" w14:paraId="6F992940" w14:textId="7100E292">
      <w:r w:rsidRPr="003C3593">
        <w:t>Key Subconsultant Negotiation Points</w:t>
      </w:r>
      <w:r w:rsidR="00A22D67">
        <w:t>:</w:t>
      </w:r>
    </w:p>
    <w:p w:rsidRPr="003C3593" w:rsidR="00682F5C" w:rsidP="00A22D67" w:rsidRDefault="00682F5C" w14:paraId="61D07076" w14:textId="04FB8AB6">
      <w:pPr>
        <w:pStyle w:val="ListParagraph"/>
        <w:numPr>
          <w:ilvl w:val="0"/>
          <w:numId w:val="3"/>
        </w:numPr>
      </w:pPr>
      <w:r w:rsidRPr="003C3593">
        <w:t>Limit flow-down to prime agreement provisions directly applicable to the Subconsultant’s services.</w:t>
      </w:r>
    </w:p>
    <w:p w:rsidRPr="003C3593" w:rsidR="00682F5C" w:rsidP="00A22D67" w:rsidRDefault="00682F5C" w14:paraId="40F49951" w14:textId="0CCD725F">
      <w:pPr>
        <w:pStyle w:val="ListParagraph"/>
        <w:numPr>
          <w:ilvl w:val="0"/>
          <w:numId w:val="3"/>
        </w:numPr>
      </w:pPr>
      <w:r w:rsidRPr="003C3593">
        <w:lastRenderedPageBreak/>
        <w:t>Tie performance obligations to the applicable professional standard of care.</w:t>
      </w:r>
    </w:p>
    <w:p w:rsidRPr="003C3593" w:rsidR="00682F5C" w:rsidP="00A22D67" w:rsidRDefault="00682F5C" w14:paraId="02AA9351" w14:textId="54DC5F73">
      <w:pPr>
        <w:pStyle w:val="ListParagraph"/>
        <w:numPr>
          <w:ilvl w:val="0"/>
          <w:numId w:val="3"/>
        </w:numPr>
      </w:pPr>
      <w:r w:rsidRPr="003C3593">
        <w:t>Avoid assuming liability broader than that assumed by the Prime.</w:t>
      </w:r>
    </w:p>
    <w:p w:rsidRPr="003C3593" w:rsidR="00682F5C" w:rsidP="00A22D67" w:rsidRDefault="00682F5C" w14:paraId="64E24A90" w14:textId="326FC824">
      <w:pPr>
        <w:pStyle w:val="ListParagraph"/>
        <w:numPr>
          <w:ilvl w:val="0"/>
          <w:numId w:val="3"/>
        </w:numPr>
      </w:pPr>
      <w:r w:rsidRPr="003C3593">
        <w:t>Restrict indemnity to claims to the extent caused by Subconsultant negligence.</w:t>
      </w:r>
    </w:p>
    <w:p w:rsidRPr="003C3593" w:rsidR="00682F5C" w:rsidP="00A22D67" w:rsidRDefault="00682F5C" w14:paraId="585362BC" w14:textId="7B7BBF1F">
      <w:pPr>
        <w:pStyle w:val="ListParagraph"/>
        <w:numPr>
          <w:ilvl w:val="0"/>
          <w:numId w:val="3"/>
        </w:numPr>
      </w:pPr>
      <w:r w:rsidRPr="003C3593">
        <w:t xml:space="preserve">Preserve proportional limitations of liability and waivers of consequential </w:t>
      </w:r>
      <w:proofErr w:type="gramStart"/>
      <w:r w:rsidRPr="003C3593">
        <w:t>damages</w:t>
      </w:r>
      <w:proofErr w:type="gramEnd"/>
      <w:r w:rsidRPr="003C3593">
        <w:t>.</w:t>
      </w:r>
    </w:p>
    <w:p w:rsidRPr="003C3593" w:rsidR="00682F5C" w:rsidP="00A22D67" w:rsidRDefault="00682F5C" w14:paraId="192D53AE" w14:textId="1830B288">
      <w:pPr>
        <w:pStyle w:val="ListParagraph"/>
        <w:numPr>
          <w:ilvl w:val="0"/>
          <w:numId w:val="3"/>
        </w:numPr>
      </w:pPr>
      <w:r w:rsidRPr="003C3593">
        <w:t>Require access to and review of the specific prime agreement provisions being flowed down.</w:t>
      </w:r>
    </w:p>
    <w:p w:rsidRPr="003C3593" w:rsidR="00682F5C" w:rsidP="00A22D67" w:rsidRDefault="00682F5C" w14:paraId="48CEE430" w14:textId="347A9566">
      <w:pPr>
        <w:pStyle w:val="ListParagraph"/>
        <w:numPr>
          <w:ilvl w:val="0"/>
          <w:numId w:val="3"/>
        </w:numPr>
      </w:pPr>
      <w:r w:rsidRPr="003C3593">
        <w:t xml:space="preserve">Include a conflict clause stating that the Subconsultant agreement </w:t>
      </w:r>
      <w:proofErr w:type="gramStart"/>
      <w:r w:rsidRPr="003C3593">
        <w:t>controls for</w:t>
      </w:r>
      <w:proofErr w:type="gramEnd"/>
      <w:r w:rsidRPr="003C3593">
        <w:t xml:space="preserve"> Subconsultant services.</w:t>
      </w:r>
    </w:p>
    <w:p w:rsidRPr="003C3593" w:rsidR="00682F5C" w:rsidP="003C3593" w:rsidRDefault="00682F5C" w14:paraId="7213BDF3" w14:textId="6EE9500A">
      <w:r w:rsidRPr="003C3593">
        <w:t>CONCLUSION</w:t>
      </w:r>
    </w:p>
    <w:p w:rsidRPr="003C3593" w:rsidR="00682F5C" w:rsidP="003C3593" w:rsidRDefault="00682F5C" w14:paraId="78A6498D" w14:textId="07B08F2A">
      <w:r w:rsidRPr="003C3593">
        <w:t>Despite their differing contractual positions, Primes and Subconsultants share a common interest in predictable, insurable, and professionally appropriate risk allocation. Most disputes arising from flow-down provisions result not from misconduct, but from mismatched expectations created at the contracting stage. When flow-down clauses are narrowly tailored, transparent, and aligned with professional standards of care, they reduce uncertainty and allow each party to focus on delivering quality services rather than managing avoidable risk.</w:t>
      </w:r>
    </w:p>
    <w:p w:rsidRPr="003C3593" w:rsidR="00717785" w:rsidP="003C3593" w:rsidRDefault="00682F5C" w14:paraId="509063E3" w14:textId="1E609F62">
      <w:r w:rsidRPr="003C3593">
        <w:t>Ultimately, effective flow-down provisions support both legal defensibility and project success. When responsibility, authority, and compensation are aligned, design teams are better positioned to collaborate, identify issues early, and resolve problems before they become claims. Thoughtful negotiation and review of flow-down provisions should therefore be viewed as a shared professional obligation, supporting successful projects and durable professional relationships.</w:t>
      </w:r>
    </w:p>
    <w:sectPr w:rsidRPr="003C3593" w:rsidR="00717785" w:rsidSect="000C276E">
      <w:pgSz w:w="12220" w:h="15840" w:orient="portrait"/>
      <w:pgMar w:top="720" w:right="720" w:bottom="720" w:left="720" w:header="720" w:footer="432" w:gutter="0"/>
      <w:cols w:space="720"/>
      <w:docGrid w:linePitch="272"/>
      <w:headerReference w:type="default" r:id="R40b2f64e490c4fbc"/>
      <w:footerReference w:type="default" r:id="Rd92c73df5ca248b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590"/>
      <w:gridCol w:w="3590"/>
      <w:gridCol w:w="3590"/>
    </w:tblGrid>
    <w:tr w:rsidR="0A705EF4" w:rsidTr="0A705EF4" w14:paraId="263B47E9">
      <w:trPr>
        <w:trHeight w:val="300"/>
      </w:trPr>
      <w:tc>
        <w:tcPr>
          <w:tcW w:w="3590" w:type="dxa"/>
          <w:tcMar/>
        </w:tcPr>
        <w:p w:rsidR="0A705EF4" w:rsidP="0A705EF4" w:rsidRDefault="0A705EF4" w14:paraId="0C3E03B7" w14:textId="4588A9C2">
          <w:pPr>
            <w:pStyle w:val="Header"/>
            <w:bidi w:val="0"/>
            <w:ind w:left="-115"/>
            <w:jc w:val="left"/>
          </w:pPr>
        </w:p>
      </w:tc>
      <w:tc>
        <w:tcPr>
          <w:tcW w:w="3590" w:type="dxa"/>
          <w:tcMar/>
        </w:tcPr>
        <w:p w:rsidR="0A705EF4" w:rsidP="0A705EF4" w:rsidRDefault="0A705EF4" w14:paraId="448768A7" w14:textId="7135AE3D">
          <w:pPr>
            <w:pStyle w:val="Header"/>
            <w:bidi w:val="0"/>
            <w:jc w:val="center"/>
          </w:pPr>
        </w:p>
      </w:tc>
      <w:tc>
        <w:tcPr>
          <w:tcW w:w="3590" w:type="dxa"/>
          <w:tcMar/>
        </w:tcPr>
        <w:p w:rsidR="0A705EF4" w:rsidP="0A705EF4" w:rsidRDefault="0A705EF4" w14:paraId="3450D9AE" w14:textId="6247DF59">
          <w:pPr>
            <w:pStyle w:val="Header"/>
            <w:bidi w:val="0"/>
            <w:ind w:right="-115"/>
            <w:jc w:val="right"/>
          </w:pPr>
        </w:p>
      </w:tc>
    </w:tr>
  </w:tbl>
  <w:p w:rsidR="0A705EF4" w:rsidP="0A705EF4" w:rsidRDefault="0A705EF4" w14:paraId="03D02DE1" w14:textId="5D8BD6D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45"/>
      <w:gridCol w:w="10755"/>
      <w:gridCol w:w="350"/>
    </w:tblGrid>
    <w:tr w:rsidR="0A705EF4" w:rsidTr="0A705EF4" w14:paraId="38DF9229">
      <w:trPr>
        <w:trHeight w:val="300"/>
      </w:trPr>
      <w:tc>
        <w:tcPr>
          <w:tcW w:w="345" w:type="dxa"/>
          <w:tcMar/>
        </w:tcPr>
        <w:p w:rsidR="0A705EF4" w:rsidP="0A705EF4" w:rsidRDefault="0A705EF4" w14:paraId="27369695" w14:textId="119D9FBB">
          <w:pPr>
            <w:pStyle w:val="Header"/>
            <w:bidi w:val="0"/>
            <w:ind w:left="-115"/>
            <w:jc w:val="left"/>
          </w:pPr>
        </w:p>
      </w:tc>
      <w:tc>
        <w:tcPr>
          <w:tcW w:w="10755" w:type="dxa"/>
          <w:tcMar/>
        </w:tcPr>
        <w:p w:rsidR="0A705EF4" w:rsidP="0A705EF4" w:rsidRDefault="0A705EF4" w14:paraId="38C3B05A" w14:textId="0E1B9741">
          <w:pPr>
            <w:pStyle w:val="Header"/>
            <w:bidi w:val="0"/>
            <w:jc w:val="center"/>
          </w:pPr>
          <w:r w:rsidR="0A705EF4">
            <w:drawing>
              <wp:inline wp14:editId="6BD1FE77" wp14:anchorId="516659A9">
                <wp:extent cx="4638675" cy="1257300"/>
                <wp:effectExtent l="0" t="0" r="0" b="0"/>
                <wp:docPr id="844848828" name="drawing" title="A black and white sign with a red lin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44848828" name="Picture 84484882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7404811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638675" cy="1257300"/>
                        </a:xfrm>
                        <a:prstGeom xmlns:a="http://schemas.openxmlformats.org/drawingml/2006/main" prst="rect">
                          <a:avLst xmlns:a="http://schemas.openxmlformats.org/drawingml/2006/main"/>
                        </a:prstGeom>
                      </pic:spPr>
                    </pic:pic>
                  </a:graphicData>
                </a:graphic>
              </wp:inline>
            </w:drawing>
          </w:r>
        </w:p>
      </w:tc>
      <w:tc>
        <w:tcPr>
          <w:tcW w:w="350" w:type="dxa"/>
          <w:tcMar/>
        </w:tcPr>
        <w:p w:rsidR="0A705EF4" w:rsidP="0A705EF4" w:rsidRDefault="0A705EF4" w14:paraId="1B3A4002" w14:textId="51C48838">
          <w:pPr>
            <w:pStyle w:val="Header"/>
            <w:bidi w:val="0"/>
            <w:ind w:right="-115"/>
            <w:jc w:val="right"/>
          </w:pPr>
        </w:p>
      </w:tc>
    </w:tr>
  </w:tbl>
  <w:p w:rsidR="0A705EF4" w:rsidP="0A705EF4" w:rsidRDefault="0A705EF4" w14:paraId="475ACEFE" w14:textId="25100E0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DEA"/>
    <w:multiLevelType w:val="hybridMultilevel"/>
    <w:tmpl w:val="3E7A2C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D9758C7"/>
    <w:multiLevelType w:val="hybridMultilevel"/>
    <w:tmpl w:val="18A49DFE"/>
    <w:lvl w:ilvl="0" w:tplc="3190CD0E">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4B12B70"/>
    <w:multiLevelType w:val="hybridMultilevel"/>
    <w:tmpl w:val="83283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60347350">
    <w:abstractNumId w:val="2"/>
  </w:num>
  <w:num w:numId="2" w16cid:durableId="532160570">
    <w:abstractNumId w:val="0"/>
  </w:num>
  <w:num w:numId="3" w16cid:durableId="36925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5C"/>
    <w:rsid w:val="000C276E"/>
    <w:rsid w:val="001313DA"/>
    <w:rsid w:val="001E61DE"/>
    <w:rsid w:val="00374F49"/>
    <w:rsid w:val="003A4D59"/>
    <w:rsid w:val="003C3593"/>
    <w:rsid w:val="00682F5C"/>
    <w:rsid w:val="00717785"/>
    <w:rsid w:val="00747F70"/>
    <w:rsid w:val="008725D8"/>
    <w:rsid w:val="009B2D4E"/>
    <w:rsid w:val="00A22D67"/>
    <w:rsid w:val="00A724F2"/>
    <w:rsid w:val="00B530D3"/>
    <w:rsid w:val="00C55F7E"/>
    <w:rsid w:val="00C80B0B"/>
    <w:rsid w:val="00E11D06"/>
    <w:rsid w:val="0A705EF4"/>
    <w:rsid w:val="14920114"/>
    <w:rsid w:val="3D99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ED3"/>
  <w15:chartTrackingRefBased/>
  <w15:docId w15:val="{0D421B62-0273-674C-BF3F-DBAEFE07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82F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F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F5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2F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82F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82F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82F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82F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82F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82F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82F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82F5C"/>
    <w:rPr>
      <w:rFonts w:eastAsiaTheme="majorEastAsia" w:cstheme="majorBidi"/>
      <w:color w:val="272727" w:themeColor="text1" w:themeTint="D8"/>
    </w:rPr>
  </w:style>
  <w:style w:type="paragraph" w:styleId="Title">
    <w:name w:val="Title"/>
    <w:basedOn w:val="Normal"/>
    <w:next w:val="Normal"/>
    <w:link w:val="TitleChar"/>
    <w:uiPriority w:val="10"/>
    <w:qFormat/>
    <w:rsid w:val="00682F5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2F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2F5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82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F5C"/>
    <w:pPr>
      <w:spacing w:before="160"/>
      <w:jc w:val="center"/>
    </w:pPr>
    <w:rPr>
      <w:i/>
      <w:iCs/>
      <w:color w:val="404040" w:themeColor="text1" w:themeTint="BF"/>
    </w:rPr>
  </w:style>
  <w:style w:type="character" w:styleId="QuoteChar" w:customStyle="1">
    <w:name w:val="Quote Char"/>
    <w:basedOn w:val="DefaultParagraphFont"/>
    <w:link w:val="Quote"/>
    <w:uiPriority w:val="29"/>
    <w:rsid w:val="00682F5C"/>
    <w:rPr>
      <w:i/>
      <w:iCs/>
      <w:color w:val="404040" w:themeColor="text1" w:themeTint="BF"/>
    </w:rPr>
  </w:style>
  <w:style w:type="paragraph" w:styleId="ListParagraph">
    <w:name w:val="List Paragraph"/>
    <w:basedOn w:val="Normal"/>
    <w:uiPriority w:val="34"/>
    <w:qFormat/>
    <w:rsid w:val="00682F5C"/>
    <w:pPr>
      <w:ind w:left="720"/>
      <w:contextualSpacing/>
    </w:pPr>
  </w:style>
  <w:style w:type="character" w:styleId="IntenseEmphasis">
    <w:name w:val="Intense Emphasis"/>
    <w:basedOn w:val="DefaultParagraphFont"/>
    <w:uiPriority w:val="21"/>
    <w:qFormat/>
    <w:rsid w:val="00682F5C"/>
    <w:rPr>
      <w:i/>
      <w:iCs/>
      <w:color w:val="0F4761" w:themeColor="accent1" w:themeShade="BF"/>
    </w:rPr>
  </w:style>
  <w:style w:type="paragraph" w:styleId="IntenseQuote">
    <w:name w:val="Intense Quote"/>
    <w:basedOn w:val="Normal"/>
    <w:next w:val="Normal"/>
    <w:link w:val="IntenseQuoteChar"/>
    <w:uiPriority w:val="30"/>
    <w:qFormat/>
    <w:rsid w:val="00682F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82F5C"/>
    <w:rPr>
      <w:i/>
      <w:iCs/>
      <w:color w:val="0F4761" w:themeColor="accent1" w:themeShade="BF"/>
    </w:rPr>
  </w:style>
  <w:style w:type="character" w:styleId="IntenseReference">
    <w:name w:val="Intense Reference"/>
    <w:basedOn w:val="DefaultParagraphFont"/>
    <w:uiPriority w:val="32"/>
    <w:qFormat/>
    <w:rsid w:val="00682F5C"/>
    <w:rPr>
      <w:b/>
      <w:bCs/>
      <w:smallCaps/>
      <w:color w:val="0F4761" w:themeColor="accent1" w:themeShade="BF"/>
      <w:spacing w:val="5"/>
    </w:rPr>
  </w:style>
  <w:style w:type="paragraph" w:styleId="Header">
    <w:uiPriority w:val="99"/>
    <w:name w:val="header"/>
    <w:basedOn w:val="Normal"/>
    <w:unhideWhenUsed/>
    <w:rsid w:val="0A705EF4"/>
    <w:pPr>
      <w:tabs>
        <w:tab w:val="center" w:leader="none" w:pos="4680"/>
        <w:tab w:val="right" w:leader="none" w:pos="9360"/>
      </w:tabs>
      <w:spacing w:after="0" w:line="240" w:lineRule="auto"/>
    </w:pPr>
  </w:style>
  <w:style w:type="paragraph" w:styleId="Footer">
    <w:uiPriority w:val="99"/>
    <w:name w:val="footer"/>
    <w:basedOn w:val="Normal"/>
    <w:unhideWhenUsed/>
    <w:rsid w:val="0A705EF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40b2f64e490c4fbc" /><Relationship Type="http://schemas.openxmlformats.org/officeDocument/2006/relationships/footer" Target="footer.xml" Id="Rd92c73df5ca248b7" /></Relationships>
</file>

<file path=word/_rels/header.xml.rels>&#65279;<?xml version="1.0" encoding="utf-8"?><Relationships xmlns="http://schemas.openxmlformats.org/package/2006/relationships"><Relationship Type="http://schemas.openxmlformats.org/officeDocument/2006/relationships/image" Target="/media/image.png" Id="rId20740481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ad75b7345e48974e5cbdabd3c5eab651">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4d85deb2bcd6b694f7c51888b4569ca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AE026254-0040-4F29-8298-F8CF9ED45AD7}"/>
</file>

<file path=customXml/itemProps2.xml><?xml version="1.0" encoding="utf-8"?>
<ds:datastoreItem xmlns:ds="http://schemas.openxmlformats.org/officeDocument/2006/customXml" ds:itemID="{34146F93-7E37-4D61-841F-9EBB50EEF567}"/>
</file>

<file path=customXml/itemProps3.xml><?xml version="1.0" encoding="utf-8"?>
<ds:datastoreItem xmlns:ds="http://schemas.openxmlformats.org/officeDocument/2006/customXml" ds:itemID="{45E3F8BD-E551-4E13-9729-0F8471C40C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RPG</dc:creator>
  <keywords/>
  <dc:description/>
  <lastModifiedBy>Haley Londrigan</lastModifiedBy>
  <revision>4</revision>
  <dcterms:created xsi:type="dcterms:W3CDTF">2026-01-23T13:44:00.0000000Z</dcterms:created>
  <dcterms:modified xsi:type="dcterms:W3CDTF">2026-01-26T21:47:33.0559414Z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