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209AC" w14:textId="7C7FB185" w:rsidR="008B2C04" w:rsidRPr="007E21C6" w:rsidRDefault="00A855BF" w:rsidP="00A855BF">
      <w:pPr>
        <w:spacing w:after="0" w:line="240" w:lineRule="auto"/>
        <w:jc w:val="center"/>
        <w:rPr>
          <w:rFonts w:ascii="Times New Roman" w:eastAsia="Times New Roman" w:hAnsi="Times New Roman" w:cs="Times New Roman"/>
          <w:i/>
          <w:color w:val="000000"/>
          <w:sz w:val="24"/>
          <w:szCs w:val="24"/>
        </w:rPr>
      </w:pPr>
      <w:r w:rsidRPr="007E21C6">
        <w:rPr>
          <w:rFonts w:ascii="Times New Roman" w:hAnsi="Times New Roman" w:cs="Times New Roman"/>
          <w:noProof/>
          <w:sz w:val="24"/>
          <w:szCs w:val="24"/>
        </w:rPr>
        <w:drawing>
          <wp:inline distT="0" distB="0" distL="0" distR="0" wp14:anchorId="49CA2710" wp14:editId="6B497271">
            <wp:extent cx="4657646" cy="1285875"/>
            <wp:effectExtent l="0" t="0" r="0" b="0"/>
            <wp:docPr id="1565045856" name="Picture 2" descr="A black and white sign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890416" name="Picture 2" descr="A black and white sign with a red lin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8798" cy="1286193"/>
                    </a:xfrm>
                    <a:prstGeom prst="rect">
                      <a:avLst/>
                    </a:prstGeom>
                    <a:noFill/>
                  </pic:spPr>
                </pic:pic>
              </a:graphicData>
            </a:graphic>
          </wp:inline>
        </w:drawing>
      </w:r>
    </w:p>
    <w:p w14:paraId="0114E61B" w14:textId="77777777" w:rsidR="00E07EA4" w:rsidRPr="007E21C6" w:rsidRDefault="00E07EA4" w:rsidP="00E07EA4">
      <w:pPr>
        <w:spacing w:after="0" w:line="240" w:lineRule="auto"/>
        <w:rPr>
          <w:rFonts w:ascii="Times New Roman" w:eastAsia="Times New Roman" w:hAnsi="Times New Roman" w:cs="Times New Roman"/>
          <w:b/>
          <w:i/>
          <w:sz w:val="24"/>
          <w:szCs w:val="24"/>
        </w:rPr>
      </w:pPr>
    </w:p>
    <w:p w14:paraId="03B32DE0" w14:textId="27694E75" w:rsidR="005E4C12" w:rsidRPr="007E21C6" w:rsidRDefault="00303A76" w:rsidP="002C5554">
      <w:pPr>
        <w:shd w:val="clear" w:color="auto" w:fill="FFFFFF"/>
        <w:spacing w:before="180" w:after="0" w:line="240" w:lineRule="auto"/>
        <w:jc w:val="center"/>
        <w:rPr>
          <w:rFonts w:ascii="Times New Roman" w:eastAsia="Times New Roman" w:hAnsi="Times New Roman" w:cs="Times New Roman"/>
          <w:color w:val="111111"/>
          <w:sz w:val="24"/>
          <w:szCs w:val="24"/>
          <w:u w:val="single"/>
        </w:rPr>
      </w:pPr>
      <w:r w:rsidRPr="007E21C6">
        <w:rPr>
          <w:rFonts w:ascii="Times New Roman" w:eastAsia="Times New Roman" w:hAnsi="Times New Roman" w:cs="Times New Roman"/>
          <w:b/>
          <w:bCs/>
          <w:color w:val="111111"/>
          <w:sz w:val="24"/>
          <w:szCs w:val="24"/>
          <w:u w:val="single"/>
        </w:rPr>
        <w:t xml:space="preserve">A/E Firm </w:t>
      </w:r>
      <w:r w:rsidR="005E4C12" w:rsidRPr="007E21C6">
        <w:rPr>
          <w:rFonts w:ascii="Times New Roman" w:eastAsia="Times New Roman" w:hAnsi="Times New Roman" w:cs="Times New Roman"/>
          <w:b/>
          <w:bCs/>
          <w:color w:val="111111"/>
          <w:sz w:val="24"/>
          <w:szCs w:val="24"/>
          <w:u w:val="single"/>
        </w:rPr>
        <w:t>Merg</w:t>
      </w:r>
      <w:r w:rsidR="002C5554" w:rsidRPr="007E21C6">
        <w:rPr>
          <w:rFonts w:ascii="Times New Roman" w:eastAsia="Times New Roman" w:hAnsi="Times New Roman" w:cs="Times New Roman"/>
          <w:b/>
          <w:bCs/>
          <w:color w:val="111111"/>
          <w:sz w:val="24"/>
          <w:szCs w:val="24"/>
          <w:u w:val="single"/>
        </w:rPr>
        <w:t>ers &amp; Acquisitions</w:t>
      </w:r>
      <w:r w:rsidRPr="007E21C6">
        <w:rPr>
          <w:rFonts w:ascii="Times New Roman" w:eastAsia="Times New Roman" w:hAnsi="Times New Roman" w:cs="Times New Roman"/>
          <w:b/>
          <w:bCs/>
          <w:color w:val="111111"/>
          <w:sz w:val="24"/>
          <w:szCs w:val="24"/>
          <w:u w:val="single"/>
        </w:rPr>
        <w:t xml:space="preserve">: Pitfalls to </w:t>
      </w:r>
      <w:r w:rsidR="007E21C6" w:rsidRPr="007E21C6">
        <w:rPr>
          <w:rFonts w:ascii="Times New Roman" w:eastAsia="Times New Roman" w:hAnsi="Times New Roman" w:cs="Times New Roman"/>
          <w:b/>
          <w:bCs/>
          <w:color w:val="111111"/>
          <w:sz w:val="24"/>
          <w:szCs w:val="24"/>
          <w:u w:val="single"/>
        </w:rPr>
        <w:t>Avoid</w:t>
      </w:r>
    </w:p>
    <w:p w14:paraId="1AB9945B" w14:textId="26422C28" w:rsidR="005E4C12" w:rsidRPr="007E21C6" w:rsidRDefault="00144FA3" w:rsidP="005E4C12">
      <w:pPr>
        <w:shd w:val="clear" w:color="auto" w:fill="FFFFFF"/>
        <w:spacing w:before="180" w:after="0"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color w:val="111111"/>
          <w:sz w:val="24"/>
          <w:szCs w:val="24"/>
        </w:rPr>
        <w:t>Navigating the complexities of M</w:t>
      </w:r>
      <w:r w:rsidR="005E4C12" w:rsidRPr="007E21C6">
        <w:rPr>
          <w:rFonts w:ascii="Times New Roman" w:eastAsia="Times New Roman" w:hAnsi="Times New Roman" w:cs="Times New Roman"/>
          <w:color w:val="111111"/>
          <w:sz w:val="24"/>
          <w:szCs w:val="24"/>
        </w:rPr>
        <w:t xml:space="preserve">ergers and </w:t>
      </w:r>
      <w:r w:rsidRPr="007E21C6">
        <w:rPr>
          <w:rFonts w:ascii="Times New Roman" w:eastAsia="Times New Roman" w:hAnsi="Times New Roman" w:cs="Times New Roman"/>
          <w:color w:val="111111"/>
          <w:sz w:val="24"/>
          <w:szCs w:val="24"/>
        </w:rPr>
        <w:t>A</w:t>
      </w:r>
      <w:r w:rsidR="005E4C12" w:rsidRPr="007E21C6">
        <w:rPr>
          <w:rFonts w:ascii="Times New Roman" w:eastAsia="Times New Roman" w:hAnsi="Times New Roman" w:cs="Times New Roman"/>
          <w:color w:val="111111"/>
          <w:sz w:val="24"/>
          <w:szCs w:val="24"/>
        </w:rPr>
        <w:t>cquisitions (M&amp;A)</w:t>
      </w:r>
      <w:r w:rsidR="00886684" w:rsidRPr="007E21C6">
        <w:rPr>
          <w:rFonts w:ascii="Times New Roman" w:eastAsia="Times New Roman" w:hAnsi="Times New Roman" w:cs="Times New Roman"/>
          <w:color w:val="111111"/>
          <w:sz w:val="24"/>
          <w:szCs w:val="24"/>
        </w:rPr>
        <w:t xml:space="preserve"> </w:t>
      </w:r>
      <w:r w:rsidR="008945DD">
        <w:rPr>
          <w:rFonts w:ascii="Times New Roman" w:eastAsia="Times New Roman" w:hAnsi="Times New Roman" w:cs="Times New Roman"/>
          <w:color w:val="111111"/>
          <w:sz w:val="24"/>
          <w:szCs w:val="24"/>
        </w:rPr>
        <w:t xml:space="preserve">involving </w:t>
      </w:r>
      <w:r w:rsidR="00886684" w:rsidRPr="007E21C6">
        <w:rPr>
          <w:rFonts w:ascii="Times New Roman" w:eastAsia="Times New Roman" w:hAnsi="Times New Roman" w:cs="Times New Roman"/>
          <w:color w:val="111111"/>
          <w:sz w:val="24"/>
          <w:szCs w:val="24"/>
        </w:rPr>
        <w:t>design firms</w:t>
      </w:r>
      <w:r w:rsidR="005E4C12" w:rsidRPr="007E21C6">
        <w:rPr>
          <w:rFonts w:ascii="Times New Roman" w:eastAsia="Times New Roman" w:hAnsi="Times New Roman" w:cs="Times New Roman"/>
          <w:color w:val="111111"/>
          <w:sz w:val="24"/>
          <w:szCs w:val="24"/>
        </w:rPr>
        <w:t xml:space="preserve"> can often feel like </w:t>
      </w:r>
      <w:r w:rsidR="005A014B" w:rsidRPr="007E21C6">
        <w:rPr>
          <w:rFonts w:ascii="Times New Roman" w:eastAsia="Times New Roman" w:hAnsi="Times New Roman" w:cs="Times New Roman"/>
          <w:color w:val="111111"/>
          <w:sz w:val="24"/>
          <w:szCs w:val="24"/>
        </w:rPr>
        <w:t xml:space="preserve">trying to </w:t>
      </w:r>
      <w:r w:rsidR="005E4C12" w:rsidRPr="007E21C6">
        <w:rPr>
          <w:rFonts w:ascii="Times New Roman" w:eastAsia="Times New Roman" w:hAnsi="Times New Roman" w:cs="Times New Roman"/>
          <w:color w:val="111111"/>
          <w:sz w:val="24"/>
          <w:szCs w:val="24"/>
        </w:rPr>
        <w:t>orchestrat</w:t>
      </w:r>
      <w:r w:rsidR="005A014B" w:rsidRPr="007E21C6">
        <w:rPr>
          <w:rFonts w:ascii="Times New Roman" w:eastAsia="Times New Roman" w:hAnsi="Times New Roman" w:cs="Times New Roman"/>
          <w:color w:val="111111"/>
          <w:sz w:val="24"/>
          <w:szCs w:val="24"/>
        </w:rPr>
        <w:t>e</w:t>
      </w:r>
      <w:r w:rsidR="005E4C12" w:rsidRPr="007E21C6">
        <w:rPr>
          <w:rFonts w:ascii="Times New Roman" w:eastAsia="Times New Roman" w:hAnsi="Times New Roman" w:cs="Times New Roman"/>
          <w:color w:val="111111"/>
          <w:sz w:val="24"/>
          <w:szCs w:val="24"/>
        </w:rPr>
        <w:t xml:space="preserve"> a symphony </w:t>
      </w:r>
      <w:r w:rsidRPr="007E21C6">
        <w:rPr>
          <w:rFonts w:ascii="Times New Roman" w:eastAsia="Times New Roman" w:hAnsi="Times New Roman" w:cs="Times New Roman"/>
          <w:color w:val="111111"/>
          <w:sz w:val="24"/>
          <w:szCs w:val="24"/>
        </w:rPr>
        <w:t>amid</w:t>
      </w:r>
      <w:r w:rsidR="007E21C6" w:rsidRPr="007E21C6">
        <w:rPr>
          <w:rFonts w:ascii="Times New Roman" w:eastAsia="Times New Roman" w:hAnsi="Times New Roman" w:cs="Times New Roman"/>
          <w:color w:val="111111"/>
          <w:sz w:val="24"/>
          <w:szCs w:val="24"/>
        </w:rPr>
        <w:t>st a pile of</w:t>
      </w:r>
      <w:r w:rsidR="005E4C12" w:rsidRPr="007E21C6">
        <w:rPr>
          <w:rFonts w:ascii="Times New Roman" w:eastAsia="Times New Roman" w:hAnsi="Times New Roman" w:cs="Times New Roman"/>
          <w:color w:val="111111"/>
          <w:sz w:val="24"/>
          <w:szCs w:val="24"/>
        </w:rPr>
        <w:t xml:space="preserve"> </w:t>
      </w:r>
      <w:r w:rsidR="00117ABC" w:rsidRPr="007E21C6">
        <w:rPr>
          <w:rFonts w:ascii="Times New Roman" w:eastAsia="Times New Roman" w:hAnsi="Times New Roman" w:cs="Times New Roman"/>
          <w:color w:val="111111"/>
          <w:sz w:val="24"/>
          <w:szCs w:val="24"/>
        </w:rPr>
        <w:t>rubble</w:t>
      </w:r>
      <w:r w:rsidR="005E4C12" w:rsidRPr="007E21C6">
        <w:rPr>
          <w:rFonts w:ascii="Times New Roman" w:eastAsia="Times New Roman" w:hAnsi="Times New Roman" w:cs="Times New Roman"/>
          <w:color w:val="111111"/>
          <w:sz w:val="24"/>
          <w:szCs w:val="24"/>
        </w:rPr>
        <w:t xml:space="preserve">. </w:t>
      </w:r>
      <w:r w:rsidR="00451227" w:rsidRPr="007E21C6">
        <w:rPr>
          <w:rFonts w:ascii="Times New Roman" w:eastAsia="Times New Roman" w:hAnsi="Times New Roman" w:cs="Times New Roman"/>
          <w:color w:val="111111"/>
          <w:sz w:val="24"/>
          <w:szCs w:val="24"/>
        </w:rPr>
        <w:t>H</w:t>
      </w:r>
      <w:r w:rsidR="009150D6" w:rsidRPr="007E21C6">
        <w:rPr>
          <w:rFonts w:ascii="Times New Roman" w:eastAsia="Times New Roman" w:hAnsi="Times New Roman" w:cs="Times New Roman"/>
          <w:color w:val="111111"/>
          <w:sz w:val="24"/>
          <w:szCs w:val="24"/>
        </w:rPr>
        <w:t>owever</w:t>
      </w:r>
      <w:r w:rsidR="005E4C12" w:rsidRPr="007E21C6">
        <w:rPr>
          <w:rFonts w:ascii="Times New Roman" w:eastAsia="Times New Roman" w:hAnsi="Times New Roman" w:cs="Times New Roman"/>
          <w:color w:val="111111"/>
          <w:sz w:val="24"/>
          <w:szCs w:val="24"/>
        </w:rPr>
        <w:t xml:space="preserve">, </w:t>
      </w:r>
      <w:r w:rsidR="00F6392F" w:rsidRPr="007E21C6">
        <w:rPr>
          <w:rFonts w:ascii="Times New Roman" w:eastAsia="Times New Roman" w:hAnsi="Times New Roman" w:cs="Times New Roman"/>
          <w:color w:val="111111"/>
          <w:sz w:val="24"/>
          <w:szCs w:val="24"/>
        </w:rPr>
        <w:t>a beautiful</w:t>
      </w:r>
      <w:r w:rsidR="005E4C12" w:rsidRPr="007E21C6">
        <w:rPr>
          <w:rFonts w:ascii="Times New Roman" w:eastAsia="Times New Roman" w:hAnsi="Times New Roman" w:cs="Times New Roman"/>
          <w:color w:val="111111"/>
          <w:sz w:val="24"/>
          <w:szCs w:val="24"/>
        </w:rPr>
        <w:t xml:space="preserve"> </w:t>
      </w:r>
      <w:r w:rsidR="00A23ECA" w:rsidRPr="007E21C6">
        <w:rPr>
          <w:rFonts w:ascii="Times New Roman" w:eastAsia="Times New Roman" w:hAnsi="Times New Roman" w:cs="Times New Roman"/>
          <w:color w:val="111111"/>
          <w:sz w:val="24"/>
          <w:szCs w:val="24"/>
        </w:rPr>
        <w:t xml:space="preserve">symphony </w:t>
      </w:r>
      <w:r w:rsidR="00F6392F" w:rsidRPr="007E21C6">
        <w:rPr>
          <w:rFonts w:ascii="Times New Roman" w:eastAsia="Times New Roman" w:hAnsi="Times New Roman" w:cs="Times New Roman"/>
          <w:color w:val="111111"/>
          <w:sz w:val="24"/>
          <w:szCs w:val="24"/>
        </w:rPr>
        <w:t>can be had</w:t>
      </w:r>
      <w:r w:rsidR="00451227" w:rsidRPr="007E21C6">
        <w:rPr>
          <w:rFonts w:ascii="Times New Roman" w:eastAsia="Times New Roman" w:hAnsi="Times New Roman" w:cs="Times New Roman"/>
          <w:color w:val="111111"/>
          <w:sz w:val="24"/>
          <w:szCs w:val="24"/>
        </w:rPr>
        <w:t xml:space="preserve"> with appropriate strategies and insights</w:t>
      </w:r>
      <w:r w:rsidR="005E4C12" w:rsidRPr="007E21C6">
        <w:rPr>
          <w:rFonts w:ascii="Times New Roman" w:eastAsia="Times New Roman" w:hAnsi="Times New Roman" w:cs="Times New Roman"/>
          <w:color w:val="111111"/>
          <w:sz w:val="24"/>
          <w:szCs w:val="24"/>
        </w:rPr>
        <w:t xml:space="preserve">. </w:t>
      </w:r>
      <w:r w:rsidR="00451227" w:rsidRPr="007E21C6">
        <w:rPr>
          <w:rFonts w:ascii="Times New Roman" w:eastAsia="Times New Roman" w:hAnsi="Times New Roman" w:cs="Times New Roman"/>
          <w:color w:val="111111"/>
          <w:sz w:val="24"/>
          <w:szCs w:val="24"/>
        </w:rPr>
        <w:t xml:space="preserve">It is of vital importance the firms involved have qualified legal and insurance assistance before beginning this journey.  Not all lawyers nor all insurance agents possess such qualifications.  </w:t>
      </w:r>
      <w:r w:rsidR="005E4C12" w:rsidRPr="007E21C6">
        <w:rPr>
          <w:rFonts w:ascii="Times New Roman" w:eastAsia="Times New Roman" w:hAnsi="Times New Roman" w:cs="Times New Roman"/>
          <w:color w:val="111111"/>
          <w:sz w:val="24"/>
          <w:szCs w:val="24"/>
        </w:rPr>
        <w:t xml:space="preserve">This newsletter delves into the key </w:t>
      </w:r>
      <w:r w:rsidRPr="007E21C6">
        <w:rPr>
          <w:rFonts w:ascii="Times New Roman" w:eastAsia="Times New Roman" w:hAnsi="Times New Roman" w:cs="Times New Roman"/>
          <w:color w:val="111111"/>
          <w:sz w:val="24"/>
          <w:szCs w:val="24"/>
        </w:rPr>
        <w:t xml:space="preserve">insurance considerations of M&amp;A and </w:t>
      </w:r>
      <w:r w:rsidR="005E4C12" w:rsidRPr="007E21C6">
        <w:rPr>
          <w:rFonts w:ascii="Times New Roman" w:eastAsia="Times New Roman" w:hAnsi="Times New Roman" w:cs="Times New Roman"/>
          <w:color w:val="111111"/>
          <w:sz w:val="24"/>
          <w:szCs w:val="24"/>
        </w:rPr>
        <w:t>provid</w:t>
      </w:r>
      <w:r w:rsidRPr="007E21C6">
        <w:rPr>
          <w:rFonts w:ascii="Times New Roman" w:eastAsia="Times New Roman" w:hAnsi="Times New Roman" w:cs="Times New Roman"/>
          <w:color w:val="111111"/>
          <w:sz w:val="24"/>
          <w:szCs w:val="24"/>
        </w:rPr>
        <w:t>es</w:t>
      </w:r>
      <w:r w:rsidR="005E4C12" w:rsidRPr="007E21C6">
        <w:rPr>
          <w:rFonts w:ascii="Times New Roman" w:eastAsia="Times New Roman" w:hAnsi="Times New Roman" w:cs="Times New Roman"/>
          <w:color w:val="111111"/>
          <w:sz w:val="24"/>
          <w:szCs w:val="24"/>
        </w:rPr>
        <w:t xml:space="preserve"> a guide to ensure smooth and successful transactions.</w:t>
      </w:r>
      <w:r w:rsidR="00A23ECA" w:rsidRPr="007E21C6">
        <w:rPr>
          <w:rFonts w:ascii="Times New Roman" w:eastAsia="Times New Roman" w:hAnsi="Times New Roman" w:cs="Times New Roman"/>
          <w:color w:val="111111"/>
          <w:sz w:val="24"/>
          <w:szCs w:val="24"/>
        </w:rPr>
        <w:t xml:space="preserve">  Failure to </w:t>
      </w:r>
      <w:r w:rsidR="00522CF5" w:rsidRPr="007E21C6">
        <w:rPr>
          <w:rFonts w:ascii="Times New Roman" w:eastAsia="Times New Roman" w:hAnsi="Times New Roman" w:cs="Times New Roman"/>
          <w:color w:val="111111"/>
          <w:sz w:val="24"/>
          <w:szCs w:val="24"/>
        </w:rPr>
        <w:t xml:space="preserve">properly address these issues can result in </w:t>
      </w:r>
      <w:r w:rsidR="004261C1" w:rsidRPr="007E21C6">
        <w:rPr>
          <w:rFonts w:ascii="Times New Roman" w:eastAsia="Times New Roman" w:hAnsi="Times New Roman" w:cs="Times New Roman"/>
          <w:color w:val="111111"/>
          <w:sz w:val="24"/>
          <w:szCs w:val="24"/>
        </w:rPr>
        <w:t>significant, uninsured losses.</w:t>
      </w:r>
    </w:p>
    <w:p w14:paraId="5C7D1B48" w14:textId="77777777" w:rsidR="005E4C12" w:rsidRPr="007E21C6" w:rsidRDefault="005E4C12" w:rsidP="005E4C12">
      <w:pPr>
        <w:shd w:val="clear" w:color="auto" w:fill="FFFFFF"/>
        <w:spacing w:before="180" w:after="0" w:line="240" w:lineRule="auto"/>
        <w:outlineLvl w:val="2"/>
        <w:rPr>
          <w:rFonts w:ascii="Times New Roman" w:eastAsia="Times New Roman" w:hAnsi="Times New Roman" w:cs="Times New Roman"/>
          <w:b/>
          <w:bCs/>
          <w:color w:val="111111"/>
          <w:sz w:val="24"/>
          <w:szCs w:val="24"/>
        </w:rPr>
      </w:pPr>
      <w:r w:rsidRPr="007E21C6">
        <w:rPr>
          <w:rFonts w:ascii="Times New Roman" w:eastAsia="Times New Roman" w:hAnsi="Times New Roman" w:cs="Times New Roman"/>
          <w:b/>
          <w:bCs/>
          <w:color w:val="111111"/>
          <w:sz w:val="24"/>
          <w:szCs w:val="24"/>
        </w:rPr>
        <w:t>Understanding the Basics</w:t>
      </w:r>
    </w:p>
    <w:p w14:paraId="468C8A26" w14:textId="77777777" w:rsidR="005E4C12" w:rsidRPr="007E21C6" w:rsidRDefault="005E4C12" w:rsidP="005E4C12">
      <w:pPr>
        <w:shd w:val="clear" w:color="auto" w:fill="FFFFFF"/>
        <w:spacing w:before="180" w:after="0"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b/>
          <w:bCs/>
          <w:color w:val="111111"/>
          <w:sz w:val="24"/>
          <w:szCs w:val="24"/>
        </w:rPr>
        <w:t>Key Terms:</w:t>
      </w:r>
    </w:p>
    <w:p w14:paraId="4B72F01C" w14:textId="4E6869FE" w:rsidR="00957E91" w:rsidRPr="007E21C6" w:rsidRDefault="005E4C12" w:rsidP="005E4C12">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b/>
          <w:bCs/>
          <w:color w:val="111111"/>
          <w:sz w:val="24"/>
          <w:szCs w:val="24"/>
        </w:rPr>
        <w:t>Asset Purchase:</w:t>
      </w:r>
      <w:r w:rsidRPr="007E21C6">
        <w:rPr>
          <w:rFonts w:ascii="Times New Roman" w:eastAsia="Times New Roman" w:hAnsi="Times New Roman" w:cs="Times New Roman"/>
          <w:color w:val="111111"/>
          <w:sz w:val="24"/>
          <w:szCs w:val="24"/>
        </w:rPr>
        <w:t xml:space="preserve"> This involves acquiring some or </w:t>
      </w:r>
      <w:proofErr w:type="gramStart"/>
      <w:r w:rsidRPr="007E21C6">
        <w:rPr>
          <w:rFonts w:ascii="Times New Roman" w:eastAsia="Times New Roman" w:hAnsi="Times New Roman" w:cs="Times New Roman"/>
          <w:color w:val="111111"/>
          <w:sz w:val="24"/>
          <w:szCs w:val="24"/>
        </w:rPr>
        <w:t>all of</w:t>
      </w:r>
      <w:proofErr w:type="gramEnd"/>
      <w:r w:rsidRPr="007E21C6">
        <w:rPr>
          <w:rFonts w:ascii="Times New Roman" w:eastAsia="Times New Roman" w:hAnsi="Times New Roman" w:cs="Times New Roman"/>
          <w:color w:val="111111"/>
          <w:sz w:val="24"/>
          <w:szCs w:val="24"/>
        </w:rPr>
        <w:t xml:space="preserve"> </w:t>
      </w:r>
      <w:r w:rsidR="00957E91" w:rsidRPr="007E21C6">
        <w:rPr>
          <w:rFonts w:ascii="Times New Roman" w:eastAsia="Times New Roman" w:hAnsi="Times New Roman" w:cs="Times New Roman"/>
          <w:color w:val="111111"/>
          <w:sz w:val="24"/>
          <w:szCs w:val="24"/>
        </w:rPr>
        <w:t>a company's assets</w:t>
      </w:r>
      <w:r w:rsidRPr="007E21C6">
        <w:rPr>
          <w:rFonts w:ascii="Times New Roman" w:eastAsia="Times New Roman" w:hAnsi="Times New Roman" w:cs="Times New Roman"/>
          <w:color w:val="111111"/>
          <w:sz w:val="24"/>
          <w:szCs w:val="24"/>
        </w:rPr>
        <w:t xml:space="preserve"> without taking on its liabilities. It’s a way to gain valuable assets while avoiding potential legal and financial burdens.</w:t>
      </w:r>
    </w:p>
    <w:p w14:paraId="4D3FEA4E" w14:textId="7A0FA8F2" w:rsidR="005E4C12" w:rsidRPr="007E21C6" w:rsidRDefault="005E4C12" w:rsidP="005E4C12">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b/>
          <w:bCs/>
          <w:color w:val="111111"/>
          <w:sz w:val="24"/>
          <w:szCs w:val="24"/>
        </w:rPr>
        <w:t>Stock Purchase:</w:t>
      </w:r>
      <w:r w:rsidRPr="007E21C6">
        <w:rPr>
          <w:rFonts w:ascii="Times New Roman" w:eastAsia="Times New Roman" w:hAnsi="Times New Roman" w:cs="Times New Roman"/>
          <w:color w:val="111111"/>
          <w:sz w:val="24"/>
          <w:szCs w:val="24"/>
        </w:rPr>
        <w:t xml:space="preserve"> In this type of acquisition, the buyer acquires all assets and liabilities of the purchased company. This method provides complete control over the acquired company </w:t>
      </w:r>
      <w:r w:rsidRPr="007E21C6">
        <w:rPr>
          <w:rFonts w:ascii="Times New Roman" w:eastAsia="Times New Roman" w:hAnsi="Times New Roman" w:cs="Times New Roman"/>
          <w:color w:val="111111"/>
          <w:sz w:val="24"/>
          <w:szCs w:val="24"/>
          <w:u w:val="single"/>
        </w:rPr>
        <w:t>but includes its existing obligations</w:t>
      </w:r>
      <w:r w:rsidRPr="007E21C6">
        <w:rPr>
          <w:rFonts w:ascii="Times New Roman" w:eastAsia="Times New Roman" w:hAnsi="Times New Roman" w:cs="Times New Roman"/>
          <w:color w:val="111111"/>
          <w:sz w:val="24"/>
          <w:szCs w:val="24"/>
        </w:rPr>
        <w:t>.</w:t>
      </w:r>
    </w:p>
    <w:p w14:paraId="280C813D" w14:textId="53CA8BEA" w:rsidR="005E4C12" w:rsidRPr="007E21C6" w:rsidRDefault="005E4C12" w:rsidP="005E4C12">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b/>
          <w:bCs/>
          <w:color w:val="111111"/>
          <w:sz w:val="24"/>
          <w:szCs w:val="24"/>
        </w:rPr>
        <w:t>Merger:</w:t>
      </w:r>
      <w:r w:rsidRPr="007E21C6">
        <w:rPr>
          <w:rFonts w:ascii="Times New Roman" w:eastAsia="Times New Roman" w:hAnsi="Times New Roman" w:cs="Times New Roman"/>
          <w:color w:val="111111"/>
          <w:sz w:val="24"/>
          <w:szCs w:val="24"/>
        </w:rPr>
        <w:t> This occurs when two or more companies combine to form a new entity. Mergers can</w:t>
      </w:r>
      <w:r w:rsidR="003B7970" w:rsidRPr="007E21C6">
        <w:rPr>
          <w:rFonts w:ascii="Times New Roman" w:eastAsia="Times New Roman" w:hAnsi="Times New Roman" w:cs="Times New Roman"/>
          <w:color w:val="111111"/>
          <w:sz w:val="24"/>
          <w:szCs w:val="24"/>
        </w:rPr>
        <w:t>, if done correctly,</w:t>
      </w:r>
      <w:r w:rsidRPr="007E21C6">
        <w:rPr>
          <w:rFonts w:ascii="Times New Roman" w:eastAsia="Times New Roman" w:hAnsi="Times New Roman" w:cs="Times New Roman"/>
          <w:color w:val="111111"/>
          <w:sz w:val="24"/>
          <w:szCs w:val="24"/>
        </w:rPr>
        <w:t xml:space="preserve"> create synergies and enhance market presence</w:t>
      </w:r>
      <w:r w:rsidR="003B7970" w:rsidRPr="007E21C6">
        <w:rPr>
          <w:rFonts w:ascii="Times New Roman" w:eastAsia="Times New Roman" w:hAnsi="Times New Roman" w:cs="Times New Roman"/>
          <w:color w:val="111111"/>
          <w:sz w:val="24"/>
          <w:szCs w:val="24"/>
        </w:rPr>
        <w:t>,</w:t>
      </w:r>
      <w:r w:rsidRPr="007E21C6">
        <w:rPr>
          <w:rFonts w:ascii="Times New Roman" w:eastAsia="Times New Roman" w:hAnsi="Times New Roman" w:cs="Times New Roman"/>
          <w:color w:val="111111"/>
          <w:sz w:val="24"/>
          <w:szCs w:val="24"/>
        </w:rPr>
        <w:t xml:space="preserve"> but </w:t>
      </w:r>
      <w:r w:rsidR="003B7970" w:rsidRPr="007E21C6">
        <w:rPr>
          <w:rFonts w:ascii="Times New Roman" w:eastAsia="Times New Roman" w:hAnsi="Times New Roman" w:cs="Times New Roman"/>
          <w:color w:val="111111"/>
          <w:sz w:val="24"/>
          <w:szCs w:val="24"/>
        </w:rPr>
        <w:t xml:space="preserve">they do </w:t>
      </w:r>
      <w:r w:rsidRPr="007E21C6">
        <w:rPr>
          <w:rFonts w:ascii="Times New Roman" w:eastAsia="Times New Roman" w:hAnsi="Times New Roman" w:cs="Times New Roman"/>
          <w:color w:val="111111"/>
          <w:sz w:val="24"/>
          <w:szCs w:val="24"/>
        </w:rPr>
        <w:t>require careful integration planning.</w:t>
      </w:r>
      <w:r w:rsidR="00C62E3B" w:rsidRPr="007E21C6">
        <w:rPr>
          <w:rFonts w:ascii="Times New Roman" w:eastAsia="Times New Roman" w:hAnsi="Times New Roman" w:cs="Times New Roman"/>
          <w:color w:val="111111"/>
          <w:sz w:val="24"/>
          <w:szCs w:val="24"/>
        </w:rPr>
        <w:t xml:space="preserve"> </w:t>
      </w:r>
      <w:r w:rsidR="003B7970" w:rsidRPr="007E21C6">
        <w:rPr>
          <w:rFonts w:ascii="Times New Roman" w:eastAsia="Times New Roman" w:hAnsi="Times New Roman" w:cs="Times New Roman"/>
          <w:color w:val="111111"/>
          <w:sz w:val="24"/>
          <w:szCs w:val="24"/>
        </w:rPr>
        <w:t xml:space="preserve">Failure to </w:t>
      </w:r>
      <w:r w:rsidR="00155F6B" w:rsidRPr="007E21C6">
        <w:rPr>
          <w:rFonts w:ascii="Times New Roman" w:eastAsia="Times New Roman" w:hAnsi="Times New Roman" w:cs="Times New Roman"/>
          <w:color w:val="111111"/>
          <w:sz w:val="24"/>
          <w:szCs w:val="24"/>
        </w:rPr>
        <w:t>plan appropriately often can lead to disaster or</w:t>
      </w:r>
      <w:r w:rsidR="00F44462" w:rsidRPr="007E21C6">
        <w:rPr>
          <w:rFonts w:ascii="Times New Roman" w:eastAsia="Times New Roman" w:hAnsi="Times New Roman" w:cs="Times New Roman"/>
          <w:color w:val="111111"/>
          <w:sz w:val="24"/>
          <w:szCs w:val="24"/>
        </w:rPr>
        <w:t>,</w:t>
      </w:r>
      <w:r w:rsidR="00155F6B" w:rsidRPr="007E21C6">
        <w:rPr>
          <w:rFonts w:ascii="Times New Roman" w:eastAsia="Times New Roman" w:hAnsi="Times New Roman" w:cs="Times New Roman"/>
          <w:color w:val="111111"/>
          <w:sz w:val="24"/>
          <w:szCs w:val="24"/>
        </w:rPr>
        <w:t xml:space="preserve"> at best</w:t>
      </w:r>
      <w:r w:rsidR="00F44462" w:rsidRPr="007E21C6">
        <w:rPr>
          <w:rFonts w:ascii="Times New Roman" w:eastAsia="Times New Roman" w:hAnsi="Times New Roman" w:cs="Times New Roman"/>
          <w:color w:val="111111"/>
          <w:sz w:val="24"/>
          <w:szCs w:val="24"/>
        </w:rPr>
        <w:t>,</w:t>
      </w:r>
      <w:r w:rsidR="00155F6B" w:rsidRPr="007E21C6">
        <w:rPr>
          <w:rFonts w:ascii="Times New Roman" w:eastAsia="Times New Roman" w:hAnsi="Times New Roman" w:cs="Times New Roman"/>
          <w:color w:val="111111"/>
          <w:sz w:val="24"/>
          <w:szCs w:val="24"/>
        </w:rPr>
        <w:t xml:space="preserve"> </w:t>
      </w:r>
      <w:r w:rsidR="009A2BB9" w:rsidRPr="007E21C6">
        <w:rPr>
          <w:rFonts w:ascii="Times New Roman" w:eastAsia="Times New Roman" w:hAnsi="Times New Roman" w:cs="Times New Roman"/>
          <w:color w:val="111111"/>
          <w:sz w:val="24"/>
          <w:szCs w:val="24"/>
        </w:rPr>
        <w:t>a medio</w:t>
      </w:r>
      <w:r w:rsidR="00F44462" w:rsidRPr="007E21C6">
        <w:rPr>
          <w:rFonts w:ascii="Times New Roman" w:eastAsia="Times New Roman" w:hAnsi="Times New Roman" w:cs="Times New Roman"/>
          <w:color w:val="111111"/>
          <w:sz w:val="24"/>
          <w:szCs w:val="24"/>
        </w:rPr>
        <w:t>cr</w:t>
      </w:r>
      <w:r w:rsidR="009A2BB9" w:rsidRPr="007E21C6">
        <w:rPr>
          <w:rFonts w:ascii="Times New Roman" w:eastAsia="Times New Roman" w:hAnsi="Times New Roman" w:cs="Times New Roman"/>
          <w:color w:val="111111"/>
          <w:sz w:val="24"/>
          <w:szCs w:val="24"/>
        </w:rPr>
        <w:t xml:space="preserve">e new firm.  </w:t>
      </w:r>
    </w:p>
    <w:p w14:paraId="02C6BEE8" w14:textId="77777777" w:rsidR="005E4C12" w:rsidRPr="007E21C6" w:rsidRDefault="005E4C12" w:rsidP="005E4C12">
      <w:pPr>
        <w:shd w:val="clear" w:color="auto" w:fill="FFFFFF"/>
        <w:spacing w:before="180" w:after="0" w:line="240" w:lineRule="auto"/>
        <w:outlineLvl w:val="2"/>
        <w:rPr>
          <w:rFonts w:ascii="Times New Roman" w:eastAsia="Times New Roman" w:hAnsi="Times New Roman" w:cs="Times New Roman"/>
          <w:b/>
          <w:bCs/>
          <w:color w:val="111111"/>
          <w:sz w:val="24"/>
          <w:szCs w:val="24"/>
        </w:rPr>
      </w:pPr>
      <w:r w:rsidRPr="007E21C6">
        <w:rPr>
          <w:rFonts w:ascii="Times New Roman" w:eastAsia="Times New Roman" w:hAnsi="Times New Roman" w:cs="Times New Roman"/>
          <w:b/>
          <w:bCs/>
          <w:color w:val="111111"/>
          <w:sz w:val="24"/>
          <w:szCs w:val="24"/>
        </w:rPr>
        <w:t>The Stages of an M&amp;A</w:t>
      </w:r>
    </w:p>
    <w:p w14:paraId="1D96712C" w14:textId="77777777" w:rsidR="005E4C12" w:rsidRPr="007E21C6" w:rsidRDefault="005E4C12" w:rsidP="005E4C12">
      <w:pPr>
        <w:shd w:val="clear" w:color="auto" w:fill="FFFFFF"/>
        <w:spacing w:before="180" w:after="0"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color w:val="111111"/>
          <w:sz w:val="24"/>
          <w:szCs w:val="24"/>
        </w:rPr>
        <w:t>The M&amp;A process can be broken down into several critical stages:</w:t>
      </w:r>
    </w:p>
    <w:p w14:paraId="2F8062E1" w14:textId="77777777" w:rsidR="005E4C12" w:rsidRDefault="005E4C12" w:rsidP="005E4C12">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b/>
          <w:bCs/>
          <w:color w:val="111111"/>
          <w:sz w:val="24"/>
          <w:szCs w:val="24"/>
        </w:rPr>
        <w:t>Target Evaluation:</w:t>
      </w:r>
      <w:r w:rsidRPr="007E21C6">
        <w:rPr>
          <w:rFonts w:ascii="Times New Roman" w:eastAsia="Times New Roman" w:hAnsi="Times New Roman" w:cs="Times New Roman"/>
          <w:color w:val="111111"/>
          <w:sz w:val="24"/>
          <w:szCs w:val="24"/>
        </w:rPr>
        <w:t> This initial stage involves identifying potential acquisition targets that align with the strategic goals of the acquiring company. Factors such as market position, financial health, and cultural fit are considered.</w:t>
      </w:r>
    </w:p>
    <w:p w14:paraId="0DC4BA68" w14:textId="77777777" w:rsidR="004258B4" w:rsidRDefault="004258B4" w:rsidP="004258B4">
      <w:pPr>
        <w:shd w:val="clear" w:color="auto" w:fill="FFFFFF"/>
        <w:spacing w:before="100" w:beforeAutospacing="1" w:after="100" w:afterAutospacing="1" w:line="240" w:lineRule="auto"/>
        <w:rPr>
          <w:rFonts w:ascii="Times New Roman" w:eastAsia="Times New Roman" w:hAnsi="Times New Roman" w:cs="Times New Roman"/>
          <w:color w:val="111111"/>
          <w:sz w:val="24"/>
          <w:szCs w:val="24"/>
        </w:rPr>
      </w:pPr>
    </w:p>
    <w:p w14:paraId="7854B7A8" w14:textId="77777777" w:rsidR="004258B4" w:rsidRDefault="004258B4" w:rsidP="004258B4">
      <w:pPr>
        <w:shd w:val="clear" w:color="auto" w:fill="FFFFFF"/>
        <w:spacing w:before="100" w:beforeAutospacing="1" w:after="100" w:afterAutospacing="1" w:line="240" w:lineRule="auto"/>
        <w:rPr>
          <w:rFonts w:ascii="Times New Roman" w:eastAsia="Times New Roman" w:hAnsi="Times New Roman" w:cs="Times New Roman"/>
          <w:color w:val="111111"/>
          <w:sz w:val="24"/>
          <w:szCs w:val="24"/>
        </w:rPr>
      </w:pPr>
    </w:p>
    <w:p w14:paraId="2FFC0615" w14:textId="77777777" w:rsidR="004258B4" w:rsidRDefault="004258B4" w:rsidP="004258B4">
      <w:pPr>
        <w:shd w:val="clear" w:color="auto" w:fill="FFFFFF"/>
        <w:spacing w:before="100" w:beforeAutospacing="1" w:after="100" w:afterAutospacing="1" w:line="240" w:lineRule="auto"/>
        <w:rPr>
          <w:rFonts w:ascii="Times New Roman" w:eastAsia="Times New Roman" w:hAnsi="Times New Roman" w:cs="Times New Roman"/>
          <w:color w:val="111111"/>
          <w:sz w:val="24"/>
          <w:szCs w:val="24"/>
        </w:rPr>
      </w:pPr>
    </w:p>
    <w:p w14:paraId="07D1FDDD" w14:textId="77777777" w:rsidR="004258B4" w:rsidRDefault="004258B4" w:rsidP="004258B4">
      <w:pPr>
        <w:shd w:val="clear" w:color="auto" w:fill="FFFFFF"/>
        <w:spacing w:before="100" w:beforeAutospacing="1" w:after="100" w:afterAutospacing="1" w:line="240" w:lineRule="auto"/>
        <w:rPr>
          <w:rFonts w:ascii="Times New Roman" w:eastAsia="Times New Roman" w:hAnsi="Times New Roman" w:cs="Times New Roman"/>
          <w:color w:val="111111"/>
          <w:sz w:val="24"/>
          <w:szCs w:val="24"/>
        </w:rPr>
      </w:pPr>
    </w:p>
    <w:p w14:paraId="36891BFF" w14:textId="49A9B5E8" w:rsidR="004258B4" w:rsidRDefault="004258B4" w:rsidP="00AA7A95">
      <w:pPr>
        <w:shd w:val="clear" w:color="auto" w:fill="FFFFFF"/>
        <w:spacing w:before="100" w:beforeAutospacing="1" w:after="100" w:afterAutospacing="1" w:line="240" w:lineRule="auto"/>
        <w:jc w:val="center"/>
        <w:rPr>
          <w:rFonts w:ascii="Times New Roman" w:eastAsia="Times New Roman" w:hAnsi="Times New Roman" w:cs="Times New Roman"/>
          <w:color w:val="111111"/>
          <w:sz w:val="24"/>
          <w:szCs w:val="24"/>
        </w:rPr>
      </w:pPr>
      <w:r w:rsidRPr="007E21C6">
        <w:rPr>
          <w:rFonts w:ascii="Times New Roman" w:hAnsi="Times New Roman" w:cs="Times New Roman"/>
          <w:noProof/>
          <w:sz w:val="24"/>
          <w:szCs w:val="24"/>
        </w:rPr>
        <w:drawing>
          <wp:inline distT="0" distB="0" distL="0" distR="0" wp14:anchorId="0EB46019" wp14:editId="38D75841">
            <wp:extent cx="4657646" cy="1285875"/>
            <wp:effectExtent l="0" t="0" r="0" b="0"/>
            <wp:docPr id="236843894" name="Picture 2" descr="A black and white sign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890416" name="Picture 2" descr="A black and white sign with a red lin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8798" cy="1286193"/>
                    </a:xfrm>
                    <a:prstGeom prst="rect">
                      <a:avLst/>
                    </a:prstGeom>
                    <a:noFill/>
                  </pic:spPr>
                </pic:pic>
              </a:graphicData>
            </a:graphic>
          </wp:inline>
        </w:drawing>
      </w:r>
    </w:p>
    <w:p w14:paraId="3C3AE995" w14:textId="77777777" w:rsidR="007E21C6" w:rsidRPr="007E21C6" w:rsidRDefault="007E21C6" w:rsidP="007E21C6">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b/>
          <w:bCs/>
          <w:color w:val="111111"/>
          <w:sz w:val="24"/>
          <w:szCs w:val="24"/>
        </w:rPr>
        <w:t>Due Diligence:</w:t>
      </w:r>
      <w:r w:rsidRPr="007E21C6">
        <w:rPr>
          <w:rFonts w:ascii="Times New Roman" w:eastAsia="Times New Roman" w:hAnsi="Times New Roman" w:cs="Times New Roman"/>
          <w:color w:val="111111"/>
          <w:sz w:val="24"/>
          <w:szCs w:val="24"/>
        </w:rPr>
        <w:t> This is a thorough investigation conducted to verify the accuracy of the information provided by the target company. It involves reviewing financial records, legal documents, and operational data to identify any potential risks or liabilities.</w:t>
      </w:r>
    </w:p>
    <w:p w14:paraId="5BA209A2" w14:textId="02C353A7" w:rsidR="00A855BF" w:rsidRPr="007E21C6" w:rsidRDefault="005E4C12" w:rsidP="007E21C6">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b/>
          <w:bCs/>
          <w:color w:val="111111"/>
          <w:sz w:val="24"/>
          <w:szCs w:val="24"/>
        </w:rPr>
        <w:t>Valuation &amp; Offer:</w:t>
      </w:r>
      <w:r w:rsidRPr="007E21C6">
        <w:rPr>
          <w:rFonts w:ascii="Times New Roman" w:eastAsia="Times New Roman" w:hAnsi="Times New Roman" w:cs="Times New Roman"/>
          <w:color w:val="111111"/>
          <w:sz w:val="24"/>
          <w:szCs w:val="24"/>
        </w:rPr>
        <w:t> Once a target is identified</w:t>
      </w:r>
      <w:r w:rsidR="007E21C6" w:rsidRPr="007E21C6">
        <w:rPr>
          <w:rFonts w:ascii="Times New Roman" w:eastAsia="Times New Roman" w:hAnsi="Times New Roman" w:cs="Times New Roman"/>
          <w:color w:val="111111"/>
          <w:sz w:val="24"/>
          <w:szCs w:val="24"/>
        </w:rPr>
        <w:t xml:space="preserve"> and due diligence is completed</w:t>
      </w:r>
      <w:r w:rsidRPr="007E21C6">
        <w:rPr>
          <w:rFonts w:ascii="Times New Roman" w:eastAsia="Times New Roman" w:hAnsi="Times New Roman" w:cs="Times New Roman"/>
          <w:color w:val="111111"/>
          <w:sz w:val="24"/>
          <w:szCs w:val="24"/>
        </w:rPr>
        <w:t>, the next step is to determine its value. This involves financial analysis and due diligence to assess the target’s worth. An offer is then made based on this valuation.</w:t>
      </w:r>
    </w:p>
    <w:p w14:paraId="14A116A0" w14:textId="77777777" w:rsidR="005E4C12" w:rsidRPr="007E21C6" w:rsidRDefault="005E4C12" w:rsidP="005E4C12">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b/>
          <w:bCs/>
          <w:color w:val="111111"/>
          <w:sz w:val="24"/>
          <w:szCs w:val="24"/>
        </w:rPr>
        <w:t>Agreement:</w:t>
      </w:r>
      <w:r w:rsidRPr="007E21C6">
        <w:rPr>
          <w:rFonts w:ascii="Times New Roman" w:eastAsia="Times New Roman" w:hAnsi="Times New Roman" w:cs="Times New Roman"/>
          <w:color w:val="111111"/>
          <w:sz w:val="24"/>
          <w:szCs w:val="24"/>
        </w:rPr>
        <w:t> After the offer is accepted, the terms of the acquisition are negotiated and finalized. This stage includes drafting and signing the purchase agreement.</w:t>
      </w:r>
    </w:p>
    <w:p w14:paraId="734FFF71" w14:textId="5B2A5AA1" w:rsidR="005E4C12" w:rsidRPr="007E21C6" w:rsidRDefault="005E4C12" w:rsidP="005E4C12">
      <w:pPr>
        <w:shd w:val="clear" w:color="auto" w:fill="FFFFFF"/>
        <w:spacing w:before="180" w:after="0" w:line="240" w:lineRule="auto"/>
        <w:outlineLvl w:val="2"/>
        <w:rPr>
          <w:rFonts w:ascii="Times New Roman" w:eastAsia="Times New Roman" w:hAnsi="Times New Roman" w:cs="Times New Roman"/>
          <w:b/>
          <w:bCs/>
          <w:color w:val="111111"/>
          <w:sz w:val="24"/>
          <w:szCs w:val="24"/>
        </w:rPr>
      </w:pPr>
      <w:r w:rsidRPr="007E21C6">
        <w:rPr>
          <w:rFonts w:ascii="Times New Roman" w:eastAsia="Times New Roman" w:hAnsi="Times New Roman" w:cs="Times New Roman"/>
          <w:b/>
          <w:bCs/>
          <w:color w:val="111111"/>
          <w:sz w:val="24"/>
          <w:szCs w:val="24"/>
        </w:rPr>
        <w:t>The Role of Insurance Brokers</w:t>
      </w:r>
    </w:p>
    <w:p w14:paraId="5F07866A" w14:textId="54961256" w:rsidR="005E4C12" w:rsidRPr="007E21C6" w:rsidRDefault="005E4C12" w:rsidP="005E4C12">
      <w:pPr>
        <w:shd w:val="clear" w:color="auto" w:fill="FFFFFF"/>
        <w:spacing w:before="180" w:after="0"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color w:val="111111"/>
          <w:sz w:val="24"/>
          <w:szCs w:val="24"/>
        </w:rPr>
        <w:t xml:space="preserve">Bringing in </w:t>
      </w:r>
      <w:r w:rsidR="00386576" w:rsidRPr="007E21C6">
        <w:rPr>
          <w:rFonts w:ascii="Times New Roman" w:eastAsia="Times New Roman" w:hAnsi="Times New Roman" w:cs="Times New Roman"/>
          <w:color w:val="111111"/>
          <w:sz w:val="24"/>
          <w:szCs w:val="24"/>
        </w:rPr>
        <w:t xml:space="preserve">your insurance </w:t>
      </w:r>
      <w:r w:rsidRPr="007E21C6">
        <w:rPr>
          <w:rFonts w:ascii="Times New Roman" w:eastAsia="Times New Roman" w:hAnsi="Times New Roman" w:cs="Times New Roman"/>
          <w:color w:val="111111"/>
          <w:sz w:val="24"/>
          <w:szCs w:val="24"/>
        </w:rPr>
        <w:t xml:space="preserve">broker early in the process can significantly enhance </w:t>
      </w:r>
      <w:r w:rsidR="002A6442" w:rsidRPr="007E21C6">
        <w:rPr>
          <w:rFonts w:ascii="Times New Roman" w:eastAsia="Times New Roman" w:hAnsi="Times New Roman" w:cs="Times New Roman"/>
          <w:color w:val="111111"/>
          <w:sz w:val="24"/>
          <w:szCs w:val="24"/>
        </w:rPr>
        <w:t xml:space="preserve">sound </w:t>
      </w:r>
      <w:r w:rsidRPr="007E21C6">
        <w:rPr>
          <w:rFonts w:ascii="Times New Roman" w:eastAsia="Times New Roman" w:hAnsi="Times New Roman" w:cs="Times New Roman"/>
          <w:color w:val="111111"/>
          <w:sz w:val="24"/>
          <w:szCs w:val="24"/>
        </w:rPr>
        <w:t xml:space="preserve">decision-making and protect stakeholder interests. </w:t>
      </w:r>
      <w:r w:rsidR="00E173A8" w:rsidRPr="007E21C6">
        <w:rPr>
          <w:rFonts w:ascii="Times New Roman" w:eastAsia="Times New Roman" w:hAnsi="Times New Roman" w:cs="Times New Roman"/>
          <w:color w:val="111111"/>
          <w:sz w:val="24"/>
          <w:szCs w:val="24"/>
        </w:rPr>
        <w:t xml:space="preserve">Experienced insurance brokers are no less </w:t>
      </w:r>
      <w:r w:rsidR="002208F8" w:rsidRPr="007E21C6">
        <w:rPr>
          <w:rFonts w:ascii="Times New Roman" w:eastAsia="Times New Roman" w:hAnsi="Times New Roman" w:cs="Times New Roman"/>
          <w:color w:val="111111"/>
          <w:sz w:val="24"/>
          <w:szCs w:val="24"/>
        </w:rPr>
        <w:t xml:space="preserve">integral </w:t>
      </w:r>
      <w:r w:rsidR="00F44462" w:rsidRPr="007E21C6">
        <w:rPr>
          <w:rFonts w:ascii="Times New Roman" w:eastAsia="Times New Roman" w:hAnsi="Times New Roman" w:cs="Times New Roman"/>
          <w:color w:val="111111"/>
          <w:sz w:val="24"/>
          <w:szCs w:val="24"/>
        </w:rPr>
        <w:t>to</w:t>
      </w:r>
      <w:r w:rsidR="002208F8" w:rsidRPr="007E21C6">
        <w:rPr>
          <w:rFonts w:ascii="Times New Roman" w:eastAsia="Times New Roman" w:hAnsi="Times New Roman" w:cs="Times New Roman"/>
          <w:color w:val="111111"/>
          <w:sz w:val="24"/>
          <w:szCs w:val="24"/>
        </w:rPr>
        <w:t xml:space="preserve"> </w:t>
      </w:r>
      <w:r w:rsidR="005B64F2" w:rsidRPr="007E21C6">
        <w:rPr>
          <w:rFonts w:ascii="Times New Roman" w:eastAsia="Times New Roman" w:hAnsi="Times New Roman" w:cs="Times New Roman"/>
          <w:color w:val="111111"/>
          <w:sz w:val="24"/>
          <w:szCs w:val="24"/>
        </w:rPr>
        <w:t>the firm's advisors</w:t>
      </w:r>
      <w:r w:rsidR="002208F8" w:rsidRPr="007E21C6">
        <w:rPr>
          <w:rFonts w:ascii="Times New Roman" w:eastAsia="Times New Roman" w:hAnsi="Times New Roman" w:cs="Times New Roman"/>
          <w:color w:val="111111"/>
          <w:sz w:val="24"/>
          <w:szCs w:val="24"/>
        </w:rPr>
        <w:t xml:space="preserve"> than an experienced </w:t>
      </w:r>
      <w:r w:rsidR="00052C57" w:rsidRPr="007E21C6">
        <w:rPr>
          <w:rFonts w:ascii="Times New Roman" w:eastAsia="Times New Roman" w:hAnsi="Times New Roman" w:cs="Times New Roman"/>
          <w:color w:val="111111"/>
          <w:sz w:val="24"/>
          <w:szCs w:val="24"/>
        </w:rPr>
        <w:t xml:space="preserve">attorney.  </w:t>
      </w:r>
      <w:r w:rsidR="00B84F17" w:rsidRPr="007E21C6">
        <w:rPr>
          <w:rFonts w:ascii="Times New Roman" w:eastAsia="Times New Roman" w:hAnsi="Times New Roman" w:cs="Times New Roman"/>
          <w:color w:val="111111"/>
          <w:sz w:val="24"/>
          <w:szCs w:val="24"/>
        </w:rPr>
        <w:t>Their knowledge of in</w:t>
      </w:r>
      <w:r w:rsidR="00F44462" w:rsidRPr="007E21C6">
        <w:rPr>
          <w:rFonts w:ascii="Times New Roman" w:eastAsia="Times New Roman" w:hAnsi="Times New Roman" w:cs="Times New Roman"/>
          <w:color w:val="111111"/>
          <w:sz w:val="24"/>
          <w:szCs w:val="24"/>
        </w:rPr>
        <w:t>s</w:t>
      </w:r>
      <w:r w:rsidR="00B84F17" w:rsidRPr="007E21C6">
        <w:rPr>
          <w:rFonts w:ascii="Times New Roman" w:eastAsia="Times New Roman" w:hAnsi="Times New Roman" w:cs="Times New Roman"/>
          <w:color w:val="111111"/>
          <w:sz w:val="24"/>
          <w:szCs w:val="24"/>
        </w:rPr>
        <w:t>urance products and first</w:t>
      </w:r>
      <w:r w:rsidR="00F44462" w:rsidRPr="007E21C6">
        <w:rPr>
          <w:rFonts w:ascii="Times New Roman" w:eastAsia="Times New Roman" w:hAnsi="Times New Roman" w:cs="Times New Roman"/>
          <w:color w:val="111111"/>
          <w:sz w:val="24"/>
          <w:szCs w:val="24"/>
        </w:rPr>
        <w:t>-</w:t>
      </w:r>
      <w:r w:rsidR="00B84F17" w:rsidRPr="007E21C6">
        <w:rPr>
          <w:rFonts w:ascii="Times New Roman" w:eastAsia="Times New Roman" w:hAnsi="Times New Roman" w:cs="Times New Roman"/>
          <w:color w:val="111111"/>
          <w:sz w:val="24"/>
          <w:szCs w:val="24"/>
        </w:rPr>
        <w:t>hand experience in M &amp; A</w:t>
      </w:r>
      <w:r w:rsidR="00097800" w:rsidRPr="007E21C6">
        <w:rPr>
          <w:rFonts w:ascii="Times New Roman" w:eastAsia="Times New Roman" w:hAnsi="Times New Roman" w:cs="Times New Roman"/>
          <w:color w:val="111111"/>
          <w:sz w:val="24"/>
          <w:szCs w:val="24"/>
        </w:rPr>
        <w:t xml:space="preserve"> can mean the difference between success and failure.</w:t>
      </w:r>
    </w:p>
    <w:p w14:paraId="3EBC84B9" w14:textId="77777777" w:rsidR="005E4C12" w:rsidRPr="007E21C6" w:rsidRDefault="005E4C12" w:rsidP="005E4C12">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b/>
          <w:bCs/>
          <w:color w:val="111111"/>
          <w:sz w:val="24"/>
          <w:szCs w:val="24"/>
        </w:rPr>
        <w:t>Identifying Potential Risks:</w:t>
      </w:r>
      <w:r w:rsidRPr="007E21C6">
        <w:rPr>
          <w:rFonts w:ascii="Times New Roman" w:eastAsia="Times New Roman" w:hAnsi="Times New Roman" w:cs="Times New Roman"/>
          <w:color w:val="111111"/>
          <w:sz w:val="24"/>
          <w:szCs w:val="24"/>
        </w:rPr>
        <w:t> Brokers help identify and assess risks associated with the acquisition, including financial, legal, and operational risks.</w:t>
      </w:r>
    </w:p>
    <w:p w14:paraId="613C7C7B" w14:textId="77777777" w:rsidR="005E4C12" w:rsidRPr="007E21C6" w:rsidRDefault="005E4C12" w:rsidP="005E4C12">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b/>
          <w:bCs/>
          <w:color w:val="111111"/>
          <w:sz w:val="24"/>
          <w:szCs w:val="24"/>
        </w:rPr>
        <w:t>Mitigating Legal &amp; Regulatory Risks:</w:t>
      </w:r>
      <w:r w:rsidRPr="007E21C6">
        <w:rPr>
          <w:rFonts w:ascii="Times New Roman" w:eastAsia="Times New Roman" w:hAnsi="Times New Roman" w:cs="Times New Roman"/>
          <w:color w:val="111111"/>
          <w:sz w:val="24"/>
          <w:szCs w:val="24"/>
        </w:rPr>
        <w:t> They ensure compliance with relevant laws and regulations, helping to avoid legal pitfalls.</w:t>
      </w:r>
    </w:p>
    <w:p w14:paraId="68805B44" w14:textId="77777777" w:rsidR="005E4C12" w:rsidRPr="007E21C6" w:rsidRDefault="005E4C12" w:rsidP="005E4C12">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b/>
          <w:bCs/>
          <w:color w:val="111111"/>
          <w:sz w:val="24"/>
          <w:szCs w:val="24"/>
        </w:rPr>
        <w:t>Preserving Value:</w:t>
      </w:r>
      <w:r w:rsidRPr="007E21C6">
        <w:rPr>
          <w:rFonts w:ascii="Times New Roman" w:eastAsia="Times New Roman" w:hAnsi="Times New Roman" w:cs="Times New Roman"/>
          <w:color w:val="111111"/>
          <w:sz w:val="24"/>
          <w:szCs w:val="24"/>
        </w:rPr>
        <w:t> Brokers work to preserve the value of the acquisition by negotiating favorable terms and conditions.</w:t>
      </w:r>
    </w:p>
    <w:p w14:paraId="1F3A1EB7" w14:textId="77777777" w:rsidR="005E4C12" w:rsidRPr="007E21C6" w:rsidRDefault="005E4C12" w:rsidP="005E4C12">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b/>
          <w:bCs/>
          <w:color w:val="111111"/>
          <w:sz w:val="24"/>
          <w:szCs w:val="24"/>
        </w:rPr>
        <w:t>Ensuring Smooth Integration:</w:t>
      </w:r>
      <w:r w:rsidRPr="007E21C6">
        <w:rPr>
          <w:rFonts w:ascii="Times New Roman" w:eastAsia="Times New Roman" w:hAnsi="Times New Roman" w:cs="Times New Roman"/>
          <w:color w:val="111111"/>
          <w:sz w:val="24"/>
          <w:szCs w:val="24"/>
        </w:rPr>
        <w:t> They facilitate the integration process, ensuring that the acquired company is seamlessly incorporated into the acquiring company’s operations.</w:t>
      </w:r>
    </w:p>
    <w:p w14:paraId="13B9123F" w14:textId="77777777" w:rsidR="005E4C12" w:rsidRPr="007E21C6" w:rsidRDefault="005E4C12" w:rsidP="005E4C12">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b/>
          <w:bCs/>
          <w:color w:val="111111"/>
          <w:sz w:val="24"/>
          <w:szCs w:val="24"/>
        </w:rPr>
        <w:t>Enhancing Decision-Making:</w:t>
      </w:r>
      <w:r w:rsidRPr="007E21C6">
        <w:rPr>
          <w:rFonts w:ascii="Times New Roman" w:eastAsia="Times New Roman" w:hAnsi="Times New Roman" w:cs="Times New Roman"/>
          <w:color w:val="111111"/>
          <w:sz w:val="24"/>
          <w:szCs w:val="24"/>
        </w:rPr>
        <w:t> Brokers provide valuable insights and advice, helping decision-makers make informed choices.</w:t>
      </w:r>
    </w:p>
    <w:p w14:paraId="3DFDC477" w14:textId="77777777" w:rsidR="005E4C12" w:rsidRDefault="005E4C12" w:rsidP="005E4C12">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b/>
          <w:bCs/>
          <w:color w:val="111111"/>
          <w:sz w:val="24"/>
          <w:szCs w:val="24"/>
        </w:rPr>
        <w:t>Protecting Stakeholder Interests:</w:t>
      </w:r>
      <w:r w:rsidRPr="007E21C6">
        <w:rPr>
          <w:rFonts w:ascii="Times New Roman" w:eastAsia="Times New Roman" w:hAnsi="Times New Roman" w:cs="Times New Roman"/>
          <w:color w:val="111111"/>
          <w:sz w:val="24"/>
          <w:szCs w:val="24"/>
        </w:rPr>
        <w:t> They ensure that the interests of all stakeholders, including shareholders, employees, and customers, are protected throughout the M&amp;A process.</w:t>
      </w:r>
    </w:p>
    <w:p w14:paraId="65665FCD" w14:textId="77777777" w:rsidR="004258B4" w:rsidRDefault="004258B4" w:rsidP="004258B4">
      <w:pPr>
        <w:shd w:val="clear" w:color="auto" w:fill="FFFFFF"/>
        <w:spacing w:before="100" w:beforeAutospacing="1" w:after="100" w:afterAutospacing="1" w:line="240" w:lineRule="auto"/>
        <w:rPr>
          <w:rFonts w:ascii="Times New Roman" w:eastAsia="Times New Roman" w:hAnsi="Times New Roman" w:cs="Times New Roman"/>
          <w:color w:val="111111"/>
          <w:sz w:val="24"/>
          <w:szCs w:val="24"/>
        </w:rPr>
      </w:pPr>
    </w:p>
    <w:p w14:paraId="07E24449" w14:textId="77777777" w:rsidR="004258B4" w:rsidRDefault="004258B4" w:rsidP="004258B4">
      <w:pPr>
        <w:shd w:val="clear" w:color="auto" w:fill="FFFFFF"/>
        <w:spacing w:before="100" w:beforeAutospacing="1" w:after="100" w:afterAutospacing="1" w:line="240" w:lineRule="auto"/>
        <w:rPr>
          <w:rFonts w:ascii="Times New Roman" w:eastAsia="Times New Roman" w:hAnsi="Times New Roman" w:cs="Times New Roman"/>
          <w:color w:val="111111"/>
          <w:sz w:val="24"/>
          <w:szCs w:val="24"/>
        </w:rPr>
      </w:pPr>
    </w:p>
    <w:p w14:paraId="6D3B6A4A" w14:textId="77777777" w:rsidR="004258B4" w:rsidRDefault="004258B4" w:rsidP="004258B4">
      <w:pPr>
        <w:shd w:val="clear" w:color="auto" w:fill="FFFFFF"/>
        <w:spacing w:before="100" w:beforeAutospacing="1" w:after="100" w:afterAutospacing="1" w:line="240" w:lineRule="auto"/>
        <w:rPr>
          <w:rFonts w:ascii="Times New Roman" w:eastAsia="Times New Roman" w:hAnsi="Times New Roman" w:cs="Times New Roman"/>
          <w:color w:val="111111"/>
          <w:sz w:val="24"/>
          <w:szCs w:val="24"/>
        </w:rPr>
      </w:pPr>
    </w:p>
    <w:p w14:paraId="3BEC40B5" w14:textId="77777777" w:rsidR="004258B4" w:rsidRDefault="004258B4" w:rsidP="004258B4">
      <w:pPr>
        <w:shd w:val="clear" w:color="auto" w:fill="FFFFFF"/>
        <w:spacing w:before="100" w:beforeAutospacing="1" w:after="100" w:afterAutospacing="1" w:line="240" w:lineRule="auto"/>
        <w:rPr>
          <w:rFonts w:ascii="Times New Roman" w:eastAsia="Times New Roman" w:hAnsi="Times New Roman" w:cs="Times New Roman"/>
          <w:color w:val="111111"/>
          <w:sz w:val="24"/>
          <w:szCs w:val="24"/>
        </w:rPr>
      </w:pPr>
    </w:p>
    <w:p w14:paraId="1E0CFD06" w14:textId="7FDE7782" w:rsidR="004258B4" w:rsidRDefault="004258B4" w:rsidP="00AA7A95">
      <w:pPr>
        <w:shd w:val="clear" w:color="auto" w:fill="FFFFFF"/>
        <w:spacing w:before="100" w:beforeAutospacing="1" w:after="100" w:afterAutospacing="1" w:line="240" w:lineRule="auto"/>
        <w:jc w:val="center"/>
        <w:rPr>
          <w:rFonts w:ascii="Times New Roman" w:eastAsia="Times New Roman" w:hAnsi="Times New Roman" w:cs="Times New Roman"/>
          <w:color w:val="111111"/>
          <w:sz w:val="24"/>
          <w:szCs w:val="24"/>
        </w:rPr>
      </w:pPr>
      <w:r w:rsidRPr="007E21C6">
        <w:rPr>
          <w:rFonts w:ascii="Times New Roman" w:hAnsi="Times New Roman" w:cs="Times New Roman"/>
          <w:noProof/>
          <w:sz w:val="24"/>
          <w:szCs w:val="24"/>
        </w:rPr>
        <w:drawing>
          <wp:inline distT="0" distB="0" distL="0" distR="0" wp14:anchorId="149BA2E0" wp14:editId="31C42D63">
            <wp:extent cx="4657646" cy="1285875"/>
            <wp:effectExtent l="0" t="0" r="0" b="0"/>
            <wp:docPr id="1742273251" name="Picture 2" descr="A black and white sign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890416" name="Picture 2" descr="A black and white sign with a red lin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8798" cy="1286193"/>
                    </a:xfrm>
                    <a:prstGeom prst="rect">
                      <a:avLst/>
                    </a:prstGeom>
                    <a:noFill/>
                  </pic:spPr>
                </pic:pic>
              </a:graphicData>
            </a:graphic>
          </wp:inline>
        </w:drawing>
      </w:r>
    </w:p>
    <w:p w14:paraId="4B66F14E" w14:textId="77777777" w:rsidR="005E4C12" w:rsidRPr="007E21C6" w:rsidRDefault="005E4C12" w:rsidP="005E4C12">
      <w:pPr>
        <w:shd w:val="clear" w:color="auto" w:fill="FFFFFF"/>
        <w:spacing w:before="180" w:after="0" w:line="240" w:lineRule="auto"/>
        <w:outlineLvl w:val="2"/>
        <w:rPr>
          <w:rFonts w:ascii="Times New Roman" w:eastAsia="Times New Roman" w:hAnsi="Times New Roman" w:cs="Times New Roman"/>
          <w:b/>
          <w:bCs/>
          <w:color w:val="111111"/>
          <w:sz w:val="24"/>
          <w:szCs w:val="24"/>
        </w:rPr>
      </w:pPr>
      <w:r w:rsidRPr="007E21C6">
        <w:rPr>
          <w:rFonts w:ascii="Times New Roman" w:eastAsia="Times New Roman" w:hAnsi="Times New Roman" w:cs="Times New Roman"/>
          <w:b/>
          <w:bCs/>
          <w:color w:val="111111"/>
          <w:sz w:val="24"/>
          <w:szCs w:val="24"/>
        </w:rPr>
        <w:t>Risk Management</w:t>
      </w:r>
    </w:p>
    <w:p w14:paraId="1658C5A9" w14:textId="77777777" w:rsidR="00A855BF" w:rsidRPr="007E21C6" w:rsidRDefault="00E42B81" w:rsidP="005E4C12">
      <w:pPr>
        <w:shd w:val="clear" w:color="auto" w:fill="FFFFFF"/>
        <w:spacing w:before="180" w:after="0"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color w:val="111111"/>
          <w:sz w:val="24"/>
          <w:szCs w:val="24"/>
        </w:rPr>
        <w:t xml:space="preserve">With a design professional M&amp;A, handling policies with prior acts is crucial to ensure comprehensive coverage and mitigate potential liabilities. Prior acts coverage, often referred to as “Full Prior Acts,” allows the acquiring firm to assume responsibility for claims arising from services provided by the acquired firm before the acquisition date. </w:t>
      </w:r>
    </w:p>
    <w:p w14:paraId="474422A4" w14:textId="66A3B4DE" w:rsidR="005E4C12" w:rsidRPr="007E21C6" w:rsidRDefault="00E42B81" w:rsidP="005E4C12">
      <w:pPr>
        <w:shd w:val="clear" w:color="auto" w:fill="FFFFFF"/>
        <w:spacing w:before="180" w:after="0"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color w:val="111111"/>
          <w:sz w:val="24"/>
          <w:szCs w:val="24"/>
        </w:rPr>
        <w:t xml:space="preserve">This is particularly important in the design industry, where projects can span several years and claims may arise long after the work is completed. To effectively manage this, the acquiring firm should integrate the acquired firm’s prior acts into their existing insurance policy, ensuring continuous coverage without gaps. This approach not only provides financial protection against historical claims but also facilitates a smoother integration by maintaining consistent insurance terms and limits. Additionally, it is often more cost-effective than purchasing an Extended Reporting Period (ERP) for the acquired firm’s previous policies. By carefully evaluating and incorporating prior acts coverage, design professionals can safeguard their merged entity against unforeseen liabilities and maintain a stable risk management framework. </w:t>
      </w:r>
      <w:r w:rsidR="005E4C12" w:rsidRPr="007E21C6">
        <w:rPr>
          <w:rFonts w:ascii="Times New Roman" w:eastAsia="Times New Roman" w:hAnsi="Times New Roman" w:cs="Times New Roman"/>
          <w:color w:val="111111"/>
          <w:sz w:val="24"/>
          <w:szCs w:val="24"/>
        </w:rPr>
        <w:t>Effective risk management is essential in M&amp;A transactions. Key areas to focus on include:</w:t>
      </w:r>
    </w:p>
    <w:p w14:paraId="1BF1B73C" w14:textId="77777777" w:rsidR="005E4C12" w:rsidRPr="007E21C6" w:rsidRDefault="005E4C12" w:rsidP="005E4C12">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b/>
          <w:bCs/>
          <w:color w:val="111111"/>
          <w:sz w:val="24"/>
          <w:szCs w:val="24"/>
        </w:rPr>
        <w:t>Professional Liability:</w:t>
      </w:r>
      <w:r w:rsidRPr="007E21C6">
        <w:rPr>
          <w:rFonts w:ascii="Times New Roman" w:eastAsia="Times New Roman" w:hAnsi="Times New Roman" w:cs="Times New Roman"/>
          <w:color w:val="111111"/>
          <w:sz w:val="24"/>
          <w:szCs w:val="24"/>
        </w:rPr>
        <w:t> This insurance protects against claims of negligence or inadequate performance by professionals. It’s crucial for firms providing specialized services.</w:t>
      </w:r>
    </w:p>
    <w:p w14:paraId="230F417B" w14:textId="77777777" w:rsidR="005E4C12" w:rsidRPr="007E21C6" w:rsidRDefault="005E4C12" w:rsidP="005E4C12">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b/>
          <w:bCs/>
          <w:color w:val="111111"/>
          <w:sz w:val="24"/>
          <w:szCs w:val="24"/>
        </w:rPr>
        <w:t>Directors &amp; Officers (D&amp;O) Liability:</w:t>
      </w:r>
      <w:r w:rsidRPr="007E21C6">
        <w:rPr>
          <w:rFonts w:ascii="Times New Roman" w:eastAsia="Times New Roman" w:hAnsi="Times New Roman" w:cs="Times New Roman"/>
          <w:color w:val="111111"/>
          <w:sz w:val="24"/>
          <w:szCs w:val="24"/>
        </w:rPr>
        <w:t> This covers the personal liability of directors and officers for actions taken in their official capacity. It protects against claims related to mismanagement, breach of fiduciary duty, and other allegations.</w:t>
      </w:r>
    </w:p>
    <w:p w14:paraId="1B4FC681" w14:textId="77777777" w:rsidR="005E4C12" w:rsidRPr="007E21C6" w:rsidRDefault="005E4C12" w:rsidP="005E4C12">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b/>
          <w:bCs/>
          <w:color w:val="111111"/>
          <w:sz w:val="24"/>
          <w:szCs w:val="24"/>
        </w:rPr>
        <w:t>Employment Practices Liability (EPLI):</w:t>
      </w:r>
      <w:r w:rsidRPr="007E21C6">
        <w:rPr>
          <w:rFonts w:ascii="Times New Roman" w:eastAsia="Times New Roman" w:hAnsi="Times New Roman" w:cs="Times New Roman"/>
          <w:color w:val="111111"/>
          <w:sz w:val="24"/>
          <w:szCs w:val="24"/>
        </w:rPr>
        <w:t> This insurance protects against claims related to employment practices, such as wrongful termination, discrimination, and harassment. It’s important for maintaining a fair and compliant workplace.</w:t>
      </w:r>
    </w:p>
    <w:p w14:paraId="5E7F0CE4" w14:textId="77777777" w:rsidR="005E4C12" w:rsidRPr="007E21C6" w:rsidRDefault="005E4C12" w:rsidP="005E4C12">
      <w:pPr>
        <w:shd w:val="clear" w:color="auto" w:fill="FFFFFF"/>
        <w:spacing w:before="180" w:after="0" w:line="240" w:lineRule="auto"/>
        <w:outlineLvl w:val="2"/>
        <w:rPr>
          <w:rFonts w:ascii="Times New Roman" w:eastAsia="Times New Roman" w:hAnsi="Times New Roman" w:cs="Times New Roman"/>
          <w:b/>
          <w:bCs/>
          <w:color w:val="111111"/>
          <w:sz w:val="24"/>
          <w:szCs w:val="24"/>
        </w:rPr>
      </w:pPr>
      <w:r w:rsidRPr="007E21C6">
        <w:rPr>
          <w:rFonts w:ascii="Times New Roman" w:eastAsia="Times New Roman" w:hAnsi="Times New Roman" w:cs="Times New Roman"/>
          <w:b/>
          <w:bCs/>
          <w:color w:val="111111"/>
          <w:sz w:val="24"/>
          <w:szCs w:val="24"/>
        </w:rPr>
        <w:t>Insurance Considerations</w:t>
      </w:r>
    </w:p>
    <w:p w14:paraId="4B1E725A" w14:textId="77777777" w:rsidR="005E4C12" w:rsidRPr="007E21C6" w:rsidRDefault="005E4C12" w:rsidP="005E4C12">
      <w:pPr>
        <w:shd w:val="clear" w:color="auto" w:fill="FFFFFF"/>
        <w:spacing w:before="180" w:after="0"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color w:val="111111"/>
          <w:sz w:val="24"/>
          <w:szCs w:val="24"/>
        </w:rPr>
        <w:t>Several types of insurance are involved in M&amp;A transactions, particularly in tail coverage. It’s important to:</w:t>
      </w:r>
    </w:p>
    <w:p w14:paraId="6A15B345" w14:textId="77777777" w:rsidR="005E4C12" w:rsidRPr="007E21C6" w:rsidRDefault="005E4C12" w:rsidP="005E4C12">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b/>
          <w:bCs/>
          <w:color w:val="111111"/>
          <w:sz w:val="24"/>
          <w:szCs w:val="24"/>
        </w:rPr>
        <w:t>Obtain Copies of Current Policies:</w:t>
      </w:r>
      <w:r w:rsidRPr="007E21C6">
        <w:rPr>
          <w:rFonts w:ascii="Times New Roman" w:eastAsia="Times New Roman" w:hAnsi="Times New Roman" w:cs="Times New Roman"/>
          <w:color w:val="111111"/>
          <w:sz w:val="24"/>
          <w:szCs w:val="24"/>
        </w:rPr>
        <w:t> Review the existing insurance policies of the target company, including professional, management, and business policies.</w:t>
      </w:r>
    </w:p>
    <w:p w14:paraId="2C9EED32" w14:textId="77777777" w:rsidR="004258B4" w:rsidRPr="004258B4" w:rsidRDefault="004258B4" w:rsidP="004258B4">
      <w:pPr>
        <w:shd w:val="clear" w:color="auto" w:fill="FFFFFF"/>
        <w:spacing w:before="100" w:beforeAutospacing="1" w:after="100" w:afterAutospacing="1" w:line="240" w:lineRule="auto"/>
        <w:ind w:left="720"/>
        <w:rPr>
          <w:rFonts w:ascii="Times New Roman" w:eastAsia="Times New Roman" w:hAnsi="Times New Roman" w:cs="Times New Roman"/>
          <w:color w:val="111111"/>
          <w:sz w:val="24"/>
          <w:szCs w:val="24"/>
        </w:rPr>
      </w:pPr>
    </w:p>
    <w:p w14:paraId="2CABF669" w14:textId="2AFF5445" w:rsidR="004258B4" w:rsidRPr="004258B4" w:rsidRDefault="004258B4" w:rsidP="00AA7A95">
      <w:pPr>
        <w:shd w:val="clear" w:color="auto" w:fill="FFFFFF"/>
        <w:spacing w:before="100" w:beforeAutospacing="1" w:after="100" w:afterAutospacing="1" w:line="240" w:lineRule="auto"/>
        <w:ind w:left="720"/>
        <w:jc w:val="center"/>
        <w:rPr>
          <w:rFonts w:ascii="Times New Roman" w:eastAsia="Times New Roman" w:hAnsi="Times New Roman" w:cs="Times New Roman"/>
          <w:color w:val="111111"/>
          <w:sz w:val="24"/>
          <w:szCs w:val="24"/>
        </w:rPr>
      </w:pPr>
      <w:r w:rsidRPr="007E21C6">
        <w:rPr>
          <w:rFonts w:ascii="Times New Roman" w:hAnsi="Times New Roman" w:cs="Times New Roman"/>
          <w:noProof/>
          <w:sz w:val="24"/>
          <w:szCs w:val="24"/>
        </w:rPr>
        <w:drawing>
          <wp:inline distT="0" distB="0" distL="0" distR="0" wp14:anchorId="41F93761" wp14:editId="10CE4CB2">
            <wp:extent cx="4657646" cy="1285875"/>
            <wp:effectExtent l="0" t="0" r="0" b="0"/>
            <wp:docPr id="304620704" name="Picture 2" descr="A black and white sign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890416" name="Picture 2" descr="A black and white sign with a red lin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8798" cy="1286193"/>
                    </a:xfrm>
                    <a:prstGeom prst="rect">
                      <a:avLst/>
                    </a:prstGeom>
                    <a:noFill/>
                  </pic:spPr>
                </pic:pic>
              </a:graphicData>
            </a:graphic>
          </wp:inline>
        </w:drawing>
      </w:r>
    </w:p>
    <w:p w14:paraId="5D8B5055" w14:textId="4BB65371" w:rsidR="005E4C12" w:rsidRPr="007E21C6" w:rsidRDefault="005E4C12" w:rsidP="005E4C12">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b/>
          <w:bCs/>
          <w:color w:val="111111"/>
          <w:sz w:val="24"/>
          <w:szCs w:val="24"/>
        </w:rPr>
        <w:t>Review Last Completed Applications:</w:t>
      </w:r>
      <w:r w:rsidRPr="007E21C6">
        <w:rPr>
          <w:rFonts w:ascii="Times New Roman" w:eastAsia="Times New Roman" w:hAnsi="Times New Roman" w:cs="Times New Roman"/>
          <w:color w:val="111111"/>
          <w:sz w:val="24"/>
          <w:szCs w:val="24"/>
        </w:rPr>
        <w:t> Examine the most recent insurance applications to understand the coverage and any changes made.</w:t>
      </w:r>
    </w:p>
    <w:p w14:paraId="4495A6CB" w14:textId="77777777" w:rsidR="005E4C12" w:rsidRPr="007E21C6" w:rsidRDefault="005E4C12" w:rsidP="005E4C12">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b/>
          <w:bCs/>
          <w:color w:val="111111"/>
          <w:sz w:val="24"/>
          <w:szCs w:val="24"/>
        </w:rPr>
        <w:t>Understand Any Losses in the Previous Five Years:</w:t>
      </w:r>
      <w:r w:rsidRPr="007E21C6">
        <w:rPr>
          <w:rFonts w:ascii="Times New Roman" w:eastAsia="Times New Roman" w:hAnsi="Times New Roman" w:cs="Times New Roman"/>
          <w:color w:val="111111"/>
          <w:sz w:val="24"/>
          <w:szCs w:val="24"/>
        </w:rPr>
        <w:t> Assess the loss history to identify potential risks and liabilities.</w:t>
      </w:r>
    </w:p>
    <w:p w14:paraId="3C2C9263" w14:textId="77777777" w:rsidR="005E4C12" w:rsidRPr="007E21C6" w:rsidRDefault="005E4C12" w:rsidP="005E4C12">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b/>
          <w:bCs/>
          <w:color w:val="111111"/>
          <w:sz w:val="24"/>
          <w:szCs w:val="24"/>
        </w:rPr>
        <w:t>Ensure Brokers Are Communicating Effectively:</w:t>
      </w:r>
      <w:r w:rsidRPr="007E21C6">
        <w:rPr>
          <w:rFonts w:ascii="Times New Roman" w:eastAsia="Times New Roman" w:hAnsi="Times New Roman" w:cs="Times New Roman"/>
          <w:color w:val="111111"/>
          <w:sz w:val="24"/>
          <w:szCs w:val="24"/>
        </w:rPr>
        <w:t> Facilitate communication between brokers to ensure a smooth transition and integration of insurance coverage.</w:t>
      </w:r>
    </w:p>
    <w:p w14:paraId="14F8B53C" w14:textId="09A31252" w:rsidR="005E4C12" w:rsidRPr="007E21C6" w:rsidRDefault="005E4C12" w:rsidP="005E4C12">
      <w:pPr>
        <w:shd w:val="clear" w:color="auto" w:fill="FFFFFF"/>
        <w:spacing w:before="180" w:after="0" w:line="240" w:lineRule="auto"/>
        <w:outlineLvl w:val="2"/>
        <w:rPr>
          <w:rFonts w:ascii="Times New Roman" w:eastAsia="Times New Roman" w:hAnsi="Times New Roman" w:cs="Times New Roman"/>
          <w:b/>
          <w:bCs/>
          <w:color w:val="111111"/>
          <w:sz w:val="24"/>
          <w:szCs w:val="24"/>
        </w:rPr>
      </w:pPr>
      <w:r w:rsidRPr="007E21C6">
        <w:rPr>
          <w:rFonts w:ascii="Times New Roman" w:eastAsia="Times New Roman" w:hAnsi="Times New Roman" w:cs="Times New Roman"/>
          <w:b/>
          <w:bCs/>
          <w:color w:val="111111"/>
          <w:sz w:val="24"/>
          <w:szCs w:val="24"/>
        </w:rPr>
        <w:t>Non-Disclosure Agreements (NDAs)</w:t>
      </w:r>
    </w:p>
    <w:p w14:paraId="244D8D66" w14:textId="77777777" w:rsidR="005E4C12" w:rsidRPr="007E21C6" w:rsidRDefault="005E4C12" w:rsidP="005E4C12">
      <w:pPr>
        <w:shd w:val="clear" w:color="auto" w:fill="FFFFFF"/>
        <w:spacing w:before="180" w:after="0"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color w:val="111111"/>
          <w:sz w:val="24"/>
          <w:szCs w:val="24"/>
        </w:rPr>
        <w:t>NDAs are critical in protecting sensitive information during the M&amp;A process. Ensure that all parties involved have signed NDAs early in the process to maintain confidentiality and protect proprietary information.</w:t>
      </w:r>
    </w:p>
    <w:p w14:paraId="4E364A49" w14:textId="77777777" w:rsidR="005E4C12" w:rsidRPr="007E21C6" w:rsidRDefault="005E4C12" w:rsidP="005E4C12">
      <w:pPr>
        <w:shd w:val="clear" w:color="auto" w:fill="FFFFFF"/>
        <w:spacing w:before="180" w:after="0" w:line="240" w:lineRule="auto"/>
        <w:outlineLvl w:val="2"/>
        <w:rPr>
          <w:rFonts w:ascii="Times New Roman" w:eastAsia="Times New Roman" w:hAnsi="Times New Roman" w:cs="Times New Roman"/>
          <w:b/>
          <w:bCs/>
          <w:color w:val="111111"/>
          <w:sz w:val="24"/>
          <w:szCs w:val="24"/>
        </w:rPr>
      </w:pPr>
      <w:r w:rsidRPr="007E21C6">
        <w:rPr>
          <w:rFonts w:ascii="Times New Roman" w:eastAsia="Times New Roman" w:hAnsi="Times New Roman" w:cs="Times New Roman"/>
          <w:b/>
          <w:bCs/>
          <w:color w:val="111111"/>
          <w:sz w:val="24"/>
          <w:szCs w:val="24"/>
        </w:rPr>
        <w:t>Extended Reporting Period (ERP) vs. Stand-Alone ERP</w:t>
      </w:r>
    </w:p>
    <w:p w14:paraId="13CCB042" w14:textId="77777777" w:rsidR="005E4C12" w:rsidRPr="007E21C6" w:rsidRDefault="005E4C12" w:rsidP="005E4C12">
      <w:pPr>
        <w:shd w:val="clear" w:color="auto" w:fill="FFFFFF"/>
        <w:spacing w:before="180" w:after="0"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color w:val="111111"/>
          <w:sz w:val="24"/>
          <w:szCs w:val="24"/>
        </w:rPr>
        <w:t>Understanding the differences between ERP and Stand-Alone ERP is crucial:</w:t>
      </w:r>
    </w:p>
    <w:p w14:paraId="2E92905F" w14:textId="77777777" w:rsidR="005E4C12" w:rsidRPr="007E21C6" w:rsidRDefault="005E4C12" w:rsidP="005E4C12">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b/>
          <w:bCs/>
          <w:color w:val="111111"/>
          <w:sz w:val="24"/>
          <w:szCs w:val="24"/>
        </w:rPr>
        <w:t>ERP:</w:t>
      </w:r>
      <w:r w:rsidRPr="007E21C6">
        <w:rPr>
          <w:rFonts w:ascii="Times New Roman" w:eastAsia="Times New Roman" w:hAnsi="Times New Roman" w:cs="Times New Roman"/>
          <w:color w:val="111111"/>
          <w:sz w:val="24"/>
          <w:szCs w:val="24"/>
        </w:rPr>
        <w:t> The Extended Reporting Period (ERP) is an extension of the current policy limits, covering claims made for prior acts before the ERP was purchased. It typically lasts 1 to 3 years, with premiums determined by the carrier. ERP provides refreshed limits but usually does not include loss prevention measures.</w:t>
      </w:r>
    </w:p>
    <w:p w14:paraId="47B94F6C" w14:textId="77777777" w:rsidR="005E4C12" w:rsidRPr="007E21C6" w:rsidRDefault="005E4C12" w:rsidP="005E4C12">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b/>
          <w:bCs/>
          <w:color w:val="111111"/>
          <w:sz w:val="24"/>
          <w:szCs w:val="24"/>
        </w:rPr>
        <w:t>Stand-Alone ERP:</w:t>
      </w:r>
      <w:r w:rsidRPr="007E21C6">
        <w:rPr>
          <w:rFonts w:ascii="Times New Roman" w:eastAsia="Times New Roman" w:hAnsi="Times New Roman" w:cs="Times New Roman"/>
          <w:color w:val="111111"/>
          <w:sz w:val="24"/>
          <w:szCs w:val="24"/>
        </w:rPr>
        <w:t> This creates a new policy for coverage, separate from the existing policy. It covers claims made for prior acts before the tail coverage was purchased. Stand-Alone ERP is a separate policy with its own limits and premiums, often providing more comprehensive coverage.</w:t>
      </w:r>
    </w:p>
    <w:p w14:paraId="74590E8B" w14:textId="77777777" w:rsidR="007E21C6" w:rsidRPr="007E21C6" w:rsidRDefault="005E4C12" w:rsidP="007E21C6">
      <w:pPr>
        <w:spacing w:after="0" w:line="336" w:lineRule="auto"/>
        <w:rPr>
          <w:rFonts w:ascii="Times New Roman" w:eastAsia="Times New Roman" w:hAnsi="Times New Roman" w:cs="Times New Roman"/>
          <w:color w:val="000000"/>
          <w:sz w:val="24"/>
          <w:szCs w:val="24"/>
        </w:rPr>
      </w:pPr>
      <w:r w:rsidRPr="007E21C6">
        <w:rPr>
          <w:rFonts w:ascii="Times New Roman" w:eastAsia="Times New Roman" w:hAnsi="Times New Roman" w:cs="Times New Roman"/>
          <w:b/>
          <w:bCs/>
          <w:color w:val="111111"/>
          <w:sz w:val="24"/>
          <w:szCs w:val="24"/>
        </w:rPr>
        <w:t>Work In Progress (WIP)</w:t>
      </w:r>
      <w:r w:rsidR="00386576" w:rsidRPr="007E21C6">
        <w:rPr>
          <w:rFonts w:ascii="Times New Roman" w:eastAsia="Times New Roman" w:hAnsi="Times New Roman" w:cs="Times New Roman"/>
          <w:b/>
          <w:bCs/>
          <w:color w:val="111111"/>
          <w:sz w:val="24"/>
          <w:szCs w:val="24"/>
        </w:rPr>
        <w:t xml:space="preserve"> –</w:t>
      </w:r>
      <w:r w:rsidR="00386576" w:rsidRPr="007E21C6">
        <w:rPr>
          <w:rFonts w:ascii="Times New Roman" w:hAnsi="Times New Roman" w:cs="Times New Roman"/>
          <w:sz w:val="24"/>
          <w:szCs w:val="24"/>
        </w:rPr>
        <w:t xml:space="preserve"> </w:t>
      </w:r>
      <w:r w:rsidR="00E42B81" w:rsidRPr="007E21C6">
        <w:rPr>
          <w:rFonts w:ascii="Times New Roman" w:eastAsia="Arial" w:hAnsi="Times New Roman" w:cs="Times New Roman"/>
          <w:b/>
          <w:bCs/>
          <w:color w:val="000000"/>
          <w:sz w:val="24"/>
          <w:szCs w:val="24"/>
        </w:rPr>
        <w:t>How do we handle WIP in the context of Tail Coverage?</w:t>
      </w:r>
    </w:p>
    <w:p w14:paraId="2B28C3F1" w14:textId="4CE7D166" w:rsidR="005E4C12" w:rsidRDefault="00386576" w:rsidP="007E21C6">
      <w:pPr>
        <w:spacing w:after="0" w:line="336"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color w:val="111111"/>
          <w:sz w:val="24"/>
          <w:szCs w:val="24"/>
        </w:rPr>
        <w:t>Recommendation: Provide a list of WIP where the new policy picks up the WIP, from start to finish; old policy to exclude projects</w:t>
      </w:r>
      <w:r w:rsidR="007E21C6" w:rsidRPr="007E21C6">
        <w:rPr>
          <w:rFonts w:ascii="Times New Roman" w:eastAsia="Times New Roman" w:hAnsi="Times New Roman" w:cs="Times New Roman"/>
          <w:color w:val="111111"/>
          <w:sz w:val="24"/>
          <w:szCs w:val="24"/>
        </w:rPr>
        <w:t xml:space="preserve">. </w:t>
      </w:r>
      <w:r w:rsidRPr="007E21C6">
        <w:rPr>
          <w:rFonts w:ascii="Times New Roman" w:eastAsia="Times New Roman" w:hAnsi="Times New Roman" w:cs="Times New Roman"/>
          <w:color w:val="111111"/>
          <w:sz w:val="24"/>
          <w:szCs w:val="24"/>
        </w:rPr>
        <w:t>Think about this: If there is a claim, do you want two carriers, policies, limits, and deductibles involved? Or just one?</w:t>
      </w:r>
    </w:p>
    <w:p w14:paraId="4EB5892D" w14:textId="77777777" w:rsidR="004258B4" w:rsidRDefault="004258B4" w:rsidP="007E21C6">
      <w:pPr>
        <w:spacing w:after="0" w:line="336" w:lineRule="auto"/>
        <w:rPr>
          <w:rFonts w:ascii="Times New Roman" w:eastAsia="Times New Roman" w:hAnsi="Times New Roman" w:cs="Times New Roman"/>
          <w:color w:val="111111"/>
          <w:sz w:val="24"/>
          <w:szCs w:val="24"/>
        </w:rPr>
      </w:pPr>
    </w:p>
    <w:p w14:paraId="5775F713" w14:textId="77777777" w:rsidR="004258B4" w:rsidRDefault="004258B4" w:rsidP="007E21C6">
      <w:pPr>
        <w:spacing w:after="0" w:line="336" w:lineRule="auto"/>
        <w:rPr>
          <w:rFonts w:ascii="Times New Roman" w:eastAsia="Times New Roman" w:hAnsi="Times New Roman" w:cs="Times New Roman"/>
          <w:color w:val="111111"/>
          <w:sz w:val="24"/>
          <w:szCs w:val="24"/>
        </w:rPr>
      </w:pPr>
    </w:p>
    <w:p w14:paraId="53E639CB" w14:textId="77777777" w:rsidR="004258B4" w:rsidRDefault="004258B4" w:rsidP="007E21C6">
      <w:pPr>
        <w:spacing w:after="0" w:line="336" w:lineRule="auto"/>
        <w:rPr>
          <w:rFonts w:ascii="Times New Roman" w:eastAsia="Times New Roman" w:hAnsi="Times New Roman" w:cs="Times New Roman"/>
          <w:color w:val="111111"/>
          <w:sz w:val="24"/>
          <w:szCs w:val="24"/>
        </w:rPr>
      </w:pPr>
    </w:p>
    <w:p w14:paraId="45FF5202" w14:textId="77777777" w:rsidR="004258B4" w:rsidRDefault="004258B4" w:rsidP="007E21C6">
      <w:pPr>
        <w:spacing w:after="0" w:line="336" w:lineRule="auto"/>
        <w:rPr>
          <w:rFonts w:ascii="Times New Roman" w:eastAsia="Times New Roman" w:hAnsi="Times New Roman" w:cs="Times New Roman"/>
          <w:color w:val="111111"/>
          <w:sz w:val="24"/>
          <w:szCs w:val="24"/>
        </w:rPr>
      </w:pPr>
    </w:p>
    <w:p w14:paraId="04EDC398" w14:textId="77777777" w:rsidR="004258B4" w:rsidRDefault="004258B4" w:rsidP="007E21C6">
      <w:pPr>
        <w:spacing w:after="0" w:line="336" w:lineRule="auto"/>
        <w:rPr>
          <w:rFonts w:ascii="Times New Roman" w:eastAsia="Times New Roman" w:hAnsi="Times New Roman" w:cs="Times New Roman"/>
          <w:color w:val="111111"/>
          <w:sz w:val="24"/>
          <w:szCs w:val="24"/>
        </w:rPr>
      </w:pPr>
    </w:p>
    <w:p w14:paraId="1FD1AB14" w14:textId="77777777" w:rsidR="004258B4" w:rsidRDefault="004258B4" w:rsidP="007E21C6">
      <w:pPr>
        <w:spacing w:after="0" w:line="336" w:lineRule="auto"/>
        <w:rPr>
          <w:rFonts w:ascii="Times New Roman" w:eastAsia="Times New Roman" w:hAnsi="Times New Roman" w:cs="Times New Roman"/>
          <w:color w:val="111111"/>
          <w:sz w:val="24"/>
          <w:szCs w:val="24"/>
        </w:rPr>
      </w:pPr>
    </w:p>
    <w:p w14:paraId="2499847C" w14:textId="4CF225EF" w:rsidR="004258B4" w:rsidRPr="007E21C6" w:rsidRDefault="004258B4" w:rsidP="007E21C6">
      <w:pPr>
        <w:spacing w:after="0" w:line="33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111111"/>
          <w:sz w:val="24"/>
          <w:szCs w:val="24"/>
        </w:rPr>
        <w:tab/>
      </w:r>
      <w:r>
        <w:rPr>
          <w:rFonts w:ascii="Times New Roman" w:eastAsia="Times New Roman" w:hAnsi="Times New Roman" w:cs="Times New Roman"/>
          <w:color w:val="111111"/>
          <w:sz w:val="24"/>
          <w:szCs w:val="24"/>
        </w:rPr>
        <w:tab/>
      </w:r>
    </w:p>
    <w:p w14:paraId="32C78F61" w14:textId="77777777" w:rsidR="004258B4" w:rsidRDefault="004258B4" w:rsidP="00AA7A95">
      <w:pPr>
        <w:shd w:val="clear" w:color="auto" w:fill="FFFFFF"/>
        <w:spacing w:before="180" w:after="0" w:line="240" w:lineRule="auto"/>
        <w:jc w:val="center"/>
        <w:rPr>
          <w:rFonts w:ascii="Times New Roman" w:eastAsia="Times New Roman" w:hAnsi="Times New Roman" w:cs="Times New Roman"/>
          <w:color w:val="111111"/>
          <w:sz w:val="24"/>
          <w:szCs w:val="24"/>
        </w:rPr>
      </w:pPr>
      <w:r w:rsidRPr="007E21C6">
        <w:rPr>
          <w:rFonts w:ascii="Times New Roman" w:hAnsi="Times New Roman" w:cs="Times New Roman"/>
          <w:noProof/>
          <w:sz w:val="24"/>
          <w:szCs w:val="24"/>
        </w:rPr>
        <w:drawing>
          <wp:inline distT="0" distB="0" distL="0" distR="0" wp14:anchorId="6B0F3379" wp14:editId="41368C2A">
            <wp:extent cx="4657646" cy="1285875"/>
            <wp:effectExtent l="0" t="0" r="0" b="0"/>
            <wp:docPr id="1289023348" name="Picture 2" descr="A black and white sign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890416" name="Picture 2" descr="A black and white sign with a red lin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8798" cy="1286193"/>
                    </a:xfrm>
                    <a:prstGeom prst="rect">
                      <a:avLst/>
                    </a:prstGeom>
                    <a:noFill/>
                  </pic:spPr>
                </pic:pic>
              </a:graphicData>
            </a:graphic>
          </wp:inline>
        </w:drawing>
      </w:r>
    </w:p>
    <w:p w14:paraId="687E545E" w14:textId="77777777" w:rsidR="004258B4" w:rsidRDefault="004258B4" w:rsidP="004258B4">
      <w:pPr>
        <w:shd w:val="clear" w:color="auto" w:fill="FFFFFF"/>
        <w:spacing w:before="180" w:after="0" w:line="240" w:lineRule="auto"/>
        <w:rPr>
          <w:rFonts w:ascii="Times New Roman" w:eastAsia="Times New Roman" w:hAnsi="Times New Roman" w:cs="Times New Roman"/>
          <w:color w:val="111111"/>
          <w:sz w:val="24"/>
          <w:szCs w:val="24"/>
        </w:rPr>
      </w:pPr>
    </w:p>
    <w:p w14:paraId="71896179" w14:textId="77777777" w:rsidR="004258B4" w:rsidRDefault="004258B4" w:rsidP="004258B4">
      <w:pPr>
        <w:shd w:val="clear" w:color="auto" w:fill="FFFFFF"/>
        <w:spacing w:before="180" w:after="0" w:line="240" w:lineRule="auto"/>
        <w:rPr>
          <w:rFonts w:ascii="Times New Roman" w:eastAsia="Times New Roman" w:hAnsi="Times New Roman" w:cs="Times New Roman"/>
          <w:color w:val="111111"/>
          <w:sz w:val="24"/>
          <w:szCs w:val="24"/>
        </w:rPr>
      </w:pPr>
    </w:p>
    <w:p w14:paraId="289E49E7" w14:textId="5177872B" w:rsidR="00A855BF" w:rsidRPr="007E21C6" w:rsidRDefault="005E4C12" w:rsidP="004258B4">
      <w:pPr>
        <w:shd w:val="clear" w:color="auto" w:fill="FFFFFF"/>
        <w:spacing w:before="180" w:after="0"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color w:val="111111"/>
          <w:sz w:val="24"/>
          <w:szCs w:val="24"/>
        </w:rPr>
        <w:t>Handling WIP in the context of tail coverage requires careful consideration. It’s recommended to provide a list of WIP where the new policy picks up the WIP from start to finish, excluding projects from the old policy. Key items to include are:</w:t>
      </w:r>
    </w:p>
    <w:p w14:paraId="37B8AD50" w14:textId="1646790B" w:rsidR="005E4C12" w:rsidRPr="007E21C6" w:rsidRDefault="005E4C12" w:rsidP="005E4C12">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color w:val="111111"/>
          <w:sz w:val="24"/>
          <w:szCs w:val="24"/>
        </w:rPr>
        <w:t>Project Name and Number</w:t>
      </w:r>
    </w:p>
    <w:p w14:paraId="42DDA543" w14:textId="77777777" w:rsidR="005E4C12" w:rsidRPr="007E21C6" w:rsidRDefault="005E4C12" w:rsidP="005E4C12">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color w:val="111111"/>
          <w:sz w:val="24"/>
          <w:szCs w:val="24"/>
        </w:rPr>
        <w:t>Total Contract Value</w:t>
      </w:r>
    </w:p>
    <w:p w14:paraId="4C19D4F4" w14:textId="77777777" w:rsidR="005E4C12" w:rsidRPr="007E21C6" w:rsidRDefault="005E4C12" w:rsidP="005E4C12">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color w:val="111111"/>
          <w:sz w:val="24"/>
          <w:szCs w:val="24"/>
        </w:rPr>
        <w:t>When Services First Began</w:t>
      </w:r>
    </w:p>
    <w:p w14:paraId="160B77C6" w14:textId="526BEE8F" w:rsidR="005E4C12" w:rsidRPr="007E21C6" w:rsidRDefault="005E4C12" w:rsidP="005E4C12">
      <w:pPr>
        <w:shd w:val="clear" w:color="auto" w:fill="FFFFFF"/>
        <w:spacing w:before="180" w:after="0" w:line="240" w:lineRule="auto"/>
        <w:outlineLvl w:val="2"/>
        <w:rPr>
          <w:rFonts w:ascii="Times New Roman" w:eastAsia="Times New Roman" w:hAnsi="Times New Roman" w:cs="Times New Roman"/>
          <w:b/>
          <w:bCs/>
          <w:color w:val="111111"/>
          <w:sz w:val="24"/>
          <w:szCs w:val="24"/>
        </w:rPr>
      </w:pPr>
      <w:r w:rsidRPr="007E21C6">
        <w:rPr>
          <w:rFonts w:ascii="Times New Roman" w:eastAsia="Times New Roman" w:hAnsi="Times New Roman" w:cs="Times New Roman"/>
          <w:b/>
          <w:bCs/>
          <w:color w:val="111111"/>
          <w:sz w:val="24"/>
          <w:szCs w:val="24"/>
        </w:rPr>
        <w:t>Case Studies</w:t>
      </w:r>
    </w:p>
    <w:p w14:paraId="6B2913B3" w14:textId="788C3B87" w:rsidR="004258B4" w:rsidRPr="00822BB4" w:rsidRDefault="00F27507" w:rsidP="00822BB4">
      <w:pPr>
        <w:shd w:val="clear" w:color="auto" w:fill="FFFFFF"/>
        <w:spacing w:before="180" w:after="0" w:line="240" w:lineRule="auto"/>
        <w:outlineLvl w:val="2"/>
        <w:rPr>
          <w:rFonts w:ascii="Times New Roman" w:eastAsia="Times New Roman" w:hAnsi="Times New Roman" w:cs="Times New Roman"/>
          <w:color w:val="111111"/>
          <w:sz w:val="24"/>
          <w:szCs w:val="24"/>
        </w:rPr>
      </w:pPr>
      <w:r w:rsidRPr="007E21C6">
        <w:rPr>
          <w:rFonts w:ascii="Times New Roman" w:eastAsia="Times New Roman" w:hAnsi="Times New Roman" w:cs="Times New Roman"/>
          <w:color w:val="111111"/>
          <w:sz w:val="24"/>
          <w:szCs w:val="24"/>
        </w:rPr>
        <w:t xml:space="preserve">The following examples, brief though they are, illustrate </w:t>
      </w:r>
      <w:r w:rsidR="00E1606C" w:rsidRPr="007E21C6">
        <w:rPr>
          <w:rFonts w:ascii="Times New Roman" w:eastAsia="Times New Roman" w:hAnsi="Times New Roman" w:cs="Times New Roman"/>
          <w:color w:val="111111"/>
          <w:sz w:val="24"/>
          <w:szCs w:val="24"/>
        </w:rPr>
        <w:t>potential problems and how to successfully address them.</w:t>
      </w:r>
    </w:p>
    <w:p w14:paraId="50FEA651" w14:textId="05A96058" w:rsidR="005E4C12" w:rsidRPr="007E21C6" w:rsidRDefault="005E4C12" w:rsidP="005E4C12">
      <w:pPr>
        <w:shd w:val="clear" w:color="auto" w:fill="FFFFFF"/>
        <w:spacing w:before="180" w:after="0"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b/>
          <w:bCs/>
          <w:color w:val="111111"/>
          <w:sz w:val="24"/>
          <w:szCs w:val="24"/>
        </w:rPr>
        <w:t>Case Study #1: ERP Coverage</w:t>
      </w:r>
    </w:p>
    <w:p w14:paraId="543F64E4" w14:textId="101839FB" w:rsidR="005E4C12" w:rsidRPr="007E21C6" w:rsidRDefault="005E4C12" w:rsidP="005E4C12">
      <w:pPr>
        <w:shd w:val="clear" w:color="auto" w:fill="FFFFFF"/>
        <w:spacing w:before="180" w:after="0"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i/>
          <w:iCs/>
          <w:color w:val="111111"/>
          <w:sz w:val="24"/>
          <w:szCs w:val="24"/>
        </w:rPr>
        <w:t>Scenario:</w:t>
      </w:r>
      <w:r w:rsidRPr="007E21C6">
        <w:rPr>
          <w:rFonts w:ascii="Times New Roman" w:eastAsia="Times New Roman" w:hAnsi="Times New Roman" w:cs="Times New Roman"/>
          <w:color w:val="111111"/>
          <w:sz w:val="24"/>
          <w:szCs w:val="24"/>
        </w:rPr>
        <w:t xml:space="preserve"> An architectural firm opted for an ERP when canceling </w:t>
      </w:r>
      <w:r w:rsidR="000873B1" w:rsidRPr="007E21C6">
        <w:rPr>
          <w:rFonts w:ascii="Times New Roman" w:eastAsia="Times New Roman" w:hAnsi="Times New Roman" w:cs="Times New Roman"/>
          <w:color w:val="111111"/>
          <w:sz w:val="24"/>
          <w:szCs w:val="24"/>
        </w:rPr>
        <w:t>its</w:t>
      </w:r>
      <w:r w:rsidRPr="007E21C6">
        <w:rPr>
          <w:rFonts w:ascii="Times New Roman" w:eastAsia="Times New Roman" w:hAnsi="Times New Roman" w:cs="Times New Roman"/>
          <w:color w:val="111111"/>
          <w:sz w:val="24"/>
          <w:szCs w:val="24"/>
        </w:rPr>
        <w:t xml:space="preserve"> policy. A year later, they were sued for alleged design flaws in a high-profile commercial building they had designed.</w:t>
      </w:r>
    </w:p>
    <w:p w14:paraId="1F0E5526" w14:textId="77777777" w:rsidR="005E4C12" w:rsidRPr="007E21C6" w:rsidRDefault="005E4C12" w:rsidP="005E4C12">
      <w:pPr>
        <w:shd w:val="clear" w:color="auto" w:fill="FFFFFF"/>
        <w:spacing w:before="180" w:after="0"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i/>
          <w:iCs/>
          <w:color w:val="111111"/>
          <w:sz w:val="24"/>
          <w:szCs w:val="24"/>
        </w:rPr>
        <w:t>Challenge:</w:t>
      </w:r>
      <w:r w:rsidRPr="007E21C6">
        <w:rPr>
          <w:rFonts w:ascii="Times New Roman" w:eastAsia="Times New Roman" w:hAnsi="Times New Roman" w:cs="Times New Roman"/>
          <w:color w:val="111111"/>
          <w:sz w:val="24"/>
          <w:szCs w:val="24"/>
        </w:rPr>
        <w:t> The firm’s professional liability insurance had ended when they closed the business, leaving them vulnerable to claims.</w:t>
      </w:r>
    </w:p>
    <w:p w14:paraId="25387AB1" w14:textId="2DD94798" w:rsidR="004258B4" w:rsidRPr="00822BB4" w:rsidRDefault="005E4C12" w:rsidP="005E4C12">
      <w:pPr>
        <w:shd w:val="clear" w:color="auto" w:fill="FFFFFF"/>
        <w:spacing w:before="180" w:after="0"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i/>
          <w:iCs/>
          <w:color w:val="111111"/>
          <w:sz w:val="24"/>
          <w:szCs w:val="24"/>
        </w:rPr>
        <w:t>Solution:</w:t>
      </w:r>
      <w:r w:rsidRPr="007E21C6">
        <w:rPr>
          <w:rFonts w:ascii="Times New Roman" w:eastAsia="Times New Roman" w:hAnsi="Times New Roman" w:cs="Times New Roman"/>
          <w:color w:val="111111"/>
          <w:sz w:val="24"/>
          <w:szCs w:val="24"/>
        </w:rPr>
        <w:t> The ERP allowed them to report the claim during the extended period, ensuring that the lawsuit was addressed and avoiding potentially crippling out-of-pocket expenses.</w:t>
      </w:r>
    </w:p>
    <w:p w14:paraId="0F35F947" w14:textId="699F742B" w:rsidR="005E4C12" w:rsidRPr="007E21C6" w:rsidRDefault="005E4C12" w:rsidP="005E4C12">
      <w:pPr>
        <w:shd w:val="clear" w:color="auto" w:fill="FFFFFF"/>
        <w:spacing w:before="180" w:after="0"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i/>
          <w:iCs/>
          <w:color w:val="111111"/>
          <w:sz w:val="24"/>
          <w:szCs w:val="24"/>
        </w:rPr>
        <w:t>Fun Fact:</w:t>
      </w:r>
      <w:r w:rsidRPr="007E21C6">
        <w:rPr>
          <w:rFonts w:ascii="Times New Roman" w:eastAsia="Times New Roman" w:hAnsi="Times New Roman" w:cs="Times New Roman"/>
          <w:color w:val="111111"/>
          <w:sz w:val="24"/>
          <w:szCs w:val="24"/>
        </w:rPr>
        <w:t xml:space="preserve"> Most professional liability policies include an Automatic Extended Reporting Period that provides a short period of extended reporting </w:t>
      </w:r>
      <w:r w:rsidR="00633545" w:rsidRPr="007E21C6">
        <w:rPr>
          <w:rFonts w:ascii="Times New Roman" w:eastAsia="Times New Roman" w:hAnsi="Times New Roman" w:cs="Times New Roman"/>
          <w:color w:val="111111"/>
          <w:sz w:val="24"/>
          <w:szCs w:val="24"/>
        </w:rPr>
        <w:t xml:space="preserve">(perhaps 30-60 days) </w:t>
      </w:r>
      <w:r w:rsidRPr="007E21C6">
        <w:rPr>
          <w:rFonts w:ascii="Times New Roman" w:eastAsia="Times New Roman" w:hAnsi="Times New Roman" w:cs="Times New Roman"/>
          <w:color w:val="111111"/>
          <w:sz w:val="24"/>
          <w:szCs w:val="24"/>
        </w:rPr>
        <w:t>for no additional premium if a policy is canceled or non-renewed by the carrier for reasons other than non-payment.</w:t>
      </w:r>
      <w:r w:rsidR="00633545" w:rsidRPr="007E21C6">
        <w:rPr>
          <w:rFonts w:ascii="Times New Roman" w:eastAsia="Times New Roman" w:hAnsi="Times New Roman" w:cs="Times New Roman"/>
          <w:color w:val="111111"/>
          <w:sz w:val="24"/>
          <w:szCs w:val="24"/>
        </w:rPr>
        <w:t xml:space="preserve">  </w:t>
      </w:r>
      <w:r w:rsidR="00FD6A1B" w:rsidRPr="007E21C6">
        <w:rPr>
          <w:rFonts w:ascii="Times New Roman" w:eastAsia="Times New Roman" w:hAnsi="Times New Roman" w:cs="Times New Roman"/>
          <w:color w:val="111111"/>
          <w:sz w:val="24"/>
          <w:szCs w:val="24"/>
        </w:rPr>
        <w:t>Many firms will purchase a longer ERP than that provided in the policy</w:t>
      </w:r>
      <w:r w:rsidR="00CB0486" w:rsidRPr="007E21C6">
        <w:rPr>
          <w:rFonts w:ascii="Times New Roman" w:eastAsia="Times New Roman" w:hAnsi="Times New Roman" w:cs="Times New Roman"/>
          <w:color w:val="111111"/>
          <w:sz w:val="24"/>
          <w:szCs w:val="24"/>
        </w:rPr>
        <w:t>,</w:t>
      </w:r>
      <w:r w:rsidR="0097161F" w:rsidRPr="007E21C6">
        <w:rPr>
          <w:rFonts w:ascii="Times New Roman" w:eastAsia="Times New Roman" w:hAnsi="Times New Roman" w:cs="Times New Roman"/>
          <w:color w:val="111111"/>
          <w:sz w:val="24"/>
          <w:szCs w:val="24"/>
        </w:rPr>
        <w:t xml:space="preserve"> believing the additional fee is well worth the longer reporting period.</w:t>
      </w:r>
    </w:p>
    <w:p w14:paraId="26FD440B" w14:textId="77777777" w:rsidR="00822BB4" w:rsidRDefault="00822BB4" w:rsidP="00822BB4">
      <w:pPr>
        <w:shd w:val="clear" w:color="auto" w:fill="FFFFFF"/>
        <w:spacing w:before="180" w:after="0" w:line="240" w:lineRule="auto"/>
        <w:jc w:val="center"/>
        <w:rPr>
          <w:rFonts w:ascii="Times New Roman" w:eastAsia="Times New Roman" w:hAnsi="Times New Roman" w:cs="Times New Roman"/>
          <w:i/>
          <w:iCs/>
          <w:color w:val="111111"/>
          <w:sz w:val="24"/>
          <w:szCs w:val="24"/>
        </w:rPr>
      </w:pPr>
      <w:r w:rsidRPr="007E21C6">
        <w:rPr>
          <w:rFonts w:ascii="Times New Roman" w:hAnsi="Times New Roman" w:cs="Times New Roman"/>
          <w:noProof/>
          <w:sz w:val="24"/>
          <w:szCs w:val="24"/>
        </w:rPr>
        <w:drawing>
          <wp:inline distT="0" distB="0" distL="0" distR="0" wp14:anchorId="243FBEC4" wp14:editId="3C8621E5">
            <wp:extent cx="4657646" cy="1285875"/>
            <wp:effectExtent l="0" t="0" r="0" b="0"/>
            <wp:docPr id="841047120" name="Picture 2" descr="A black and white sign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890416" name="Picture 2" descr="A black and white sign with a red lin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8798" cy="1286193"/>
                    </a:xfrm>
                    <a:prstGeom prst="rect">
                      <a:avLst/>
                    </a:prstGeom>
                    <a:noFill/>
                  </pic:spPr>
                </pic:pic>
              </a:graphicData>
            </a:graphic>
          </wp:inline>
        </w:drawing>
      </w:r>
    </w:p>
    <w:p w14:paraId="69C3FCA3" w14:textId="77777777" w:rsidR="00822BB4" w:rsidRDefault="00822BB4" w:rsidP="00822BB4">
      <w:pPr>
        <w:shd w:val="clear" w:color="auto" w:fill="FFFFFF"/>
        <w:spacing w:before="180" w:after="0" w:line="240" w:lineRule="auto"/>
        <w:jc w:val="center"/>
        <w:rPr>
          <w:rFonts w:ascii="Times New Roman" w:eastAsia="Times New Roman" w:hAnsi="Times New Roman" w:cs="Times New Roman"/>
          <w:i/>
          <w:iCs/>
          <w:color w:val="111111"/>
          <w:sz w:val="24"/>
          <w:szCs w:val="24"/>
        </w:rPr>
      </w:pPr>
    </w:p>
    <w:p w14:paraId="0BBA5467" w14:textId="77777777" w:rsidR="00822BB4" w:rsidRPr="007E21C6" w:rsidRDefault="00822BB4" w:rsidP="00822BB4">
      <w:pPr>
        <w:shd w:val="clear" w:color="auto" w:fill="FFFFFF"/>
        <w:spacing w:before="180" w:after="0"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b/>
          <w:bCs/>
          <w:color w:val="111111"/>
          <w:sz w:val="24"/>
          <w:szCs w:val="24"/>
        </w:rPr>
        <w:t>Case Study #2: Stand-Alone ERP</w:t>
      </w:r>
    </w:p>
    <w:p w14:paraId="0644B2E3" w14:textId="77777777" w:rsidR="00822BB4" w:rsidRPr="007E21C6" w:rsidRDefault="00822BB4" w:rsidP="00822BB4">
      <w:pPr>
        <w:shd w:val="clear" w:color="auto" w:fill="FFFFFF"/>
        <w:spacing w:before="180" w:after="0"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i/>
          <w:iCs/>
          <w:color w:val="111111"/>
          <w:sz w:val="24"/>
          <w:szCs w:val="24"/>
        </w:rPr>
        <w:t>Scenario:</w:t>
      </w:r>
      <w:r w:rsidRPr="007E21C6">
        <w:rPr>
          <w:rFonts w:ascii="Times New Roman" w:eastAsia="Times New Roman" w:hAnsi="Times New Roman" w:cs="Times New Roman"/>
          <w:color w:val="111111"/>
          <w:sz w:val="24"/>
          <w:szCs w:val="24"/>
        </w:rPr>
        <w:t> An engineering firm secured a 3-year Runoff policy after merging with another design firm. Prior to the merger, they had incurred a significant loss, depleting a portion of their policy limit.</w:t>
      </w:r>
    </w:p>
    <w:p w14:paraId="0B3556B7" w14:textId="5D282FF0" w:rsidR="005E4C12" w:rsidRPr="007E21C6" w:rsidRDefault="005E4C12" w:rsidP="00822BB4">
      <w:pPr>
        <w:shd w:val="clear" w:color="auto" w:fill="FFFFFF"/>
        <w:spacing w:before="180" w:after="0"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i/>
          <w:iCs/>
          <w:color w:val="111111"/>
          <w:sz w:val="24"/>
          <w:szCs w:val="24"/>
        </w:rPr>
        <w:t>Challenge:</w:t>
      </w:r>
      <w:r w:rsidRPr="007E21C6">
        <w:rPr>
          <w:rFonts w:ascii="Times New Roman" w:eastAsia="Times New Roman" w:hAnsi="Times New Roman" w:cs="Times New Roman"/>
          <w:color w:val="111111"/>
          <w:sz w:val="24"/>
          <w:szCs w:val="24"/>
        </w:rPr>
        <w:t> A large claim was made two years after the merger, exceeding the remaining policy limits.</w:t>
      </w:r>
    </w:p>
    <w:p w14:paraId="5C6A993F" w14:textId="35E46D7A" w:rsidR="004258B4" w:rsidRDefault="005E4C12" w:rsidP="005E4C12">
      <w:pPr>
        <w:shd w:val="clear" w:color="auto" w:fill="FFFFFF"/>
        <w:spacing w:before="180" w:after="0" w:line="240" w:lineRule="auto"/>
        <w:rPr>
          <w:rFonts w:ascii="Times New Roman" w:eastAsia="Times New Roman" w:hAnsi="Times New Roman" w:cs="Times New Roman"/>
          <w:i/>
          <w:iCs/>
          <w:color w:val="111111"/>
          <w:sz w:val="24"/>
          <w:szCs w:val="24"/>
        </w:rPr>
      </w:pPr>
      <w:r w:rsidRPr="007E21C6">
        <w:rPr>
          <w:rFonts w:ascii="Times New Roman" w:eastAsia="Times New Roman" w:hAnsi="Times New Roman" w:cs="Times New Roman"/>
          <w:i/>
          <w:iCs/>
          <w:color w:val="111111"/>
          <w:sz w:val="24"/>
          <w:szCs w:val="24"/>
        </w:rPr>
        <w:t>Solution:</w:t>
      </w:r>
      <w:r w:rsidRPr="007E21C6">
        <w:rPr>
          <w:rFonts w:ascii="Times New Roman" w:eastAsia="Times New Roman" w:hAnsi="Times New Roman" w:cs="Times New Roman"/>
          <w:color w:val="111111"/>
          <w:sz w:val="24"/>
          <w:szCs w:val="24"/>
        </w:rPr>
        <w:t xml:space="preserve"> The Runoff policy refreshed </w:t>
      </w:r>
      <w:r w:rsidR="004336CA" w:rsidRPr="007E21C6">
        <w:rPr>
          <w:rFonts w:ascii="Times New Roman" w:eastAsia="Times New Roman" w:hAnsi="Times New Roman" w:cs="Times New Roman"/>
          <w:color w:val="111111"/>
          <w:sz w:val="24"/>
          <w:szCs w:val="24"/>
        </w:rPr>
        <w:t>its</w:t>
      </w:r>
      <w:r w:rsidRPr="007E21C6">
        <w:rPr>
          <w:rFonts w:ascii="Times New Roman" w:eastAsia="Times New Roman" w:hAnsi="Times New Roman" w:cs="Times New Roman"/>
          <w:color w:val="111111"/>
          <w:sz w:val="24"/>
          <w:szCs w:val="24"/>
        </w:rPr>
        <w:t xml:space="preserve"> policy limits, allowing the carrier to respond to the full damages within the Runoff’s policy limit.</w:t>
      </w:r>
    </w:p>
    <w:p w14:paraId="441C58EB" w14:textId="502CA960" w:rsidR="005E4C12" w:rsidRPr="007E21C6" w:rsidRDefault="005E4C12" w:rsidP="005E4C12">
      <w:pPr>
        <w:shd w:val="clear" w:color="auto" w:fill="FFFFFF"/>
        <w:spacing w:before="180" w:after="0"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i/>
          <w:iCs/>
          <w:color w:val="111111"/>
          <w:sz w:val="24"/>
          <w:szCs w:val="24"/>
        </w:rPr>
        <w:t>Fun Fact:</w:t>
      </w:r>
      <w:r w:rsidRPr="007E21C6">
        <w:rPr>
          <w:rFonts w:ascii="Times New Roman" w:eastAsia="Times New Roman" w:hAnsi="Times New Roman" w:cs="Times New Roman"/>
          <w:color w:val="111111"/>
          <w:sz w:val="24"/>
          <w:szCs w:val="24"/>
        </w:rPr>
        <w:t> Availability of Runoff Coverage varies in the market, and carriers may be unlikely to offer this option, particularly if a firm has incurred substantial loss activity previously.</w:t>
      </w:r>
    </w:p>
    <w:p w14:paraId="0E8C095D" w14:textId="77777777" w:rsidR="005E4C12" w:rsidRPr="007E21C6" w:rsidRDefault="005E4C12" w:rsidP="005E4C12">
      <w:pPr>
        <w:shd w:val="clear" w:color="auto" w:fill="FFFFFF"/>
        <w:spacing w:before="180" w:after="0"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b/>
          <w:bCs/>
          <w:color w:val="111111"/>
          <w:sz w:val="24"/>
          <w:szCs w:val="24"/>
        </w:rPr>
        <w:t>Case Study #3: Prior Acts Coverage</w:t>
      </w:r>
    </w:p>
    <w:p w14:paraId="2D4FEE08" w14:textId="77777777" w:rsidR="005E4C12" w:rsidRPr="007E21C6" w:rsidRDefault="005E4C12" w:rsidP="005E4C12">
      <w:pPr>
        <w:shd w:val="clear" w:color="auto" w:fill="FFFFFF"/>
        <w:spacing w:before="180" w:after="0"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i/>
          <w:iCs/>
          <w:color w:val="111111"/>
          <w:sz w:val="24"/>
          <w:szCs w:val="24"/>
        </w:rPr>
        <w:t>Scenario:</w:t>
      </w:r>
      <w:r w:rsidRPr="007E21C6">
        <w:rPr>
          <w:rFonts w:ascii="Times New Roman" w:eastAsia="Times New Roman" w:hAnsi="Times New Roman" w:cs="Times New Roman"/>
          <w:color w:val="111111"/>
          <w:sz w:val="24"/>
          <w:szCs w:val="24"/>
        </w:rPr>
        <w:t> An architectural firm was acquired by another design firm via a stock purchase. Rather than purchasing an ERP, the acquired firm was added to the new firm’s policy with Full Prior Acts coverage.</w:t>
      </w:r>
    </w:p>
    <w:p w14:paraId="6E6B7A0D" w14:textId="77777777" w:rsidR="005E4C12" w:rsidRPr="007E21C6" w:rsidRDefault="005E4C12" w:rsidP="005E4C12">
      <w:pPr>
        <w:shd w:val="clear" w:color="auto" w:fill="FFFFFF"/>
        <w:spacing w:before="180" w:after="0"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i/>
          <w:iCs/>
          <w:color w:val="111111"/>
          <w:sz w:val="24"/>
          <w:szCs w:val="24"/>
        </w:rPr>
        <w:t>Challenge:</w:t>
      </w:r>
      <w:r w:rsidRPr="007E21C6">
        <w:rPr>
          <w:rFonts w:ascii="Times New Roman" w:eastAsia="Times New Roman" w:hAnsi="Times New Roman" w:cs="Times New Roman"/>
          <w:color w:val="111111"/>
          <w:sz w:val="24"/>
          <w:szCs w:val="24"/>
        </w:rPr>
        <w:t> A claim was made six years after the transaction, alleging negligence on a project completed seven years ago.</w:t>
      </w:r>
    </w:p>
    <w:p w14:paraId="2C363A10" w14:textId="77777777" w:rsidR="005E4C12" w:rsidRPr="007E21C6" w:rsidRDefault="005E4C12" w:rsidP="005E4C12">
      <w:pPr>
        <w:shd w:val="clear" w:color="auto" w:fill="FFFFFF"/>
        <w:spacing w:before="180" w:after="0"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i/>
          <w:iCs/>
          <w:color w:val="111111"/>
          <w:sz w:val="24"/>
          <w:szCs w:val="24"/>
        </w:rPr>
        <w:t>Solution:</w:t>
      </w:r>
      <w:r w:rsidRPr="007E21C6">
        <w:rPr>
          <w:rFonts w:ascii="Times New Roman" w:eastAsia="Times New Roman" w:hAnsi="Times New Roman" w:cs="Times New Roman"/>
          <w:color w:val="111111"/>
          <w:sz w:val="24"/>
          <w:szCs w:val="24"/>
        </w:rPr>
        <w:t> Full Prior Acts coverage ensured the availability of coverage for the older project work, addressing the allegations effectively.</w:t>
      </w:r>
    </w:p>
    <w:p w14:paraId="375E3CAC" w14:textId="77777777" w:rsidR="005E4C12" w:rsidRPr="007E21C6" w:rsidRDefault="005E4C12" w:rsidP="005E4C12">
      <w:pPr>
        <w:shd w:val="clear" w:color="auto" w:fill="FFFFFF"/>
        <w:spacing w:before="180" w:after="0"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i/>
          <w:iCs/>
          <w:color w:val="111111"/>
          <w:sz w:val="24"/>
          <w:szCs w:val="24"/>
        </w:rPr>
        <w:t>Fun Fact:</w:t>
      </w:r>
      <w:r w:rsidRPr="007E21C6">
        <w:rPr>
          <w:rFonts w:ascii="Times New Roman" w:eastAsia="Times New Roman" w:hAnsi="Times New Roman" w:cs="Times New Roman"/>
          <w:color w:val="111111"/>
          <w:sz w:val="24"/>
          <w:szCs w:val="24"/>
        </w:rPr>
        <w:t> The cost to add a firm with Full Prior Acts can often be more cost-effective than purchasing an ERP.</w:t>
      </w:r>
    </w:p>
    <w:p w14:paraId="1FFC9317" w14:textId="77777777" w:rsidR="005E4C12" w:rsidRPr="007E21C6" w:rsidRDefault="005E4C12" w:rsidP="005E4C12">
      <w:pPr>
        <w:shd w:val="clear" w:color="auto" w:fill="FFFFFF"/>
        <w:spacing w:before="180" w:after="0" w:line="240" w:lineRule="auto"/>
        <w:outlineLvl w:val="2"/>
        <w:rPr>
          <w:rFonts w:ascii="Times New Roman" w:eastAsia="Times New Roman" w:hAnsi="Times New Roman" w:cs="Times New Roman"/>
          <w:b/>
          <w:bCs/>
          <w:color w:val="111111"/>
          <w:sz w:val="24"/>
          <w:szCs w:val="24"/>
        </w:rPr>
      </w:pPr>
      <w:r w:rsidRPr="007E21C6">
        <w:rPr>
          <w:rFonts w:ascii="Times New Roman" w:eastAsia="Times New Roman" w:hAnsi="Times New Roman" w:cs="Times New Roman"/>
          <w:b/>
          <w:bCs/>
          <w:color w:val="111111"/>
          <w:sz w:val="24"/>
          <w:szCs w:val="24"/>
        </w:rPr>
        <w:t>Conclusion</w:t>
      </w:r>
    </w:p>
    <w:p w14:paraId="37A399B9" w14:textId="04A506C8" w:rsidR="005E4C12" w:rsidRPr="007E21C6" w:rsidRDefault="009A16A8" w:rsidP="005E4C12">
      <w:pPr>
        <w:shd w:val="clear" w:color="auto" w:fill="FFFFFF"/>
        <w:spacing w:before="180" w:after="0" w:line="240" w:lineRule="auto"/>
        <w:rPr>
          <w:rFonts w:ascii="Times New Roman" w:eastAsia="Times New Roman" w:hAnsi="Times New Roman" w:cs="Times New Roman"/>
          <w:color w:val="111111"/>
          <w:sz w:val="24"/>
          <w:szCs w:val="24"/>
        </w:rPr>
      </w:pPr>
      <w:r w:rsidRPr="007E21C6">
        <w:rPr>
          <w:rFonts w:ascii="Times New Roman" w:eastAsia="Times New Roman" w:hAnsi="Times New Roman" w:cs="Times New Roman"/>
          <w:color w:val="111111"/>
          <w:sz w:val="24"/>
          <w:szCs w:val="24"/>
        </w:rPr>
        <w:t>Tail coverage and ERPs are essential in providing protection against pre-acquisition liabilities. While assuming prior acts can be cheaper, it may also be more problematic. The goal is to mitigate financial risks long-term, ensure a smooth integration, and preserve the firm’s reputation.</w:t>
      </w:r>
      <w:r w:rsidR="00822BB4">
        <w:rPr>
          <w:rFonts w:ascii="Times New Roman" w:eastAsia="Times New Roman" w:hAnsi="Times New Roman" w:cs="Times New Roman"/>
          <w:color w:val="111111"/>
          <w:sz w:val="24"/>
          <w:szCs w:val="24"/>
        </w:rPr>
        <w:t xml:space="preserve"> </w:t>
      </w:r>
      <w:r w:rsidR="005E4C12" w:rsidRPr="007E21C6">
        <w:rPr>
          <w:rFonts w:ascii="Times New Roman" w:eastAsia="Times New Roman" w:hAnsi="Times New Roman" w:cs="Times New Roman"/>
          <w:color w:val="111111"/>
          <w:sz w:val="24"/>
          <w:szCs w:val="24"/>
        </w:rPr>
        <w:t xml:space="preserve">Navigating the complexities of </w:t>
      </w:r>
      <w:r w:rsidR="002A6442" w:rsidRPr="007E21C6">
        <w:rPr>
          <w:rFonts w:ascii="Times New Roman" w:eastAsia="Times New Roman" w:hAnsi="Times New Roman" w:cs="Times New Roman"/>
          <w:color w:val="111111"/>
          <w:sz w:val="24"/>
          <w:szCs w:val="24"/>
        </w:rPr>
        <w:t xml:space="preserve">a successful </w:t>
      </w:r>
      <w:r w:rsidR="005E4C12" w:rsidRPr="007E21C6">
        <w:rPr>
          <w:rFonts w:ascii="Times New Roman" w:eastAsia="Times New Roman" w:hAnsi="Times New Roman" w:cs="Times New Roman"/>
          <w:color w:val="111111"/>
          <w:sz w:val="24"/>
          <w:szCs w:val="24"/>
        </w:rPr>
        <w:t>M&amp;A requires a strategic approach and a thorough understanding of the various elements involved</w:t>
      </w:r>
      <w:r w:rsidR="00B17B44" w:rsidRPr="007E21C6">
        <w:rPr>
          <w:rFonts w:ascii="Times New Roman" w:eastAsia="Times New Roman" w:hAnsi="Times New Roman" w:cs="Times New Roman"/>
          <w:color w:val="111111"/>
          <w:sz w:val="24"/>
          <w:szCs w:val="24"/>
        </w:rPr>
        <w:t>, including legal and insurance</w:t>
      </w:r>
      <w:r w:rsidR="005E4C12" w:rsidRPr="007E21C6">
        <w:rPr>
          <w:rFonts w:ascii="Times New Roman" w:eastAsia="Times New Roman" w:hAnsi="Times New Roman" w:cs="Times New Roman"/>
          <w:color w:val="111111"/>
          <w:sz w:val="24"/>
          <w:szCs w:val="24"/>
        </w:rPr>
        <w:t>. By focusing on risk management, effective use of brokers</w:t>
      </w:r>
      <w:r w:rsidR="00B17B44" w:rsidRPr="007E21C6">
        <w:rPr>
          <w:rFonts w:ascii="Times New Roman" w:eastAsia="Times New Roman" w:hAnsi="Times New Roman" w:cs="Times New Roman"/>
          <w:color w:val="111111"/>
          <w:sz w:val="24"/>
          <w:szCs w:val="24"/>
        </w:rPr>
        <w:t xml:space="preserve"> and legal counsel</w:t>
      </w:r>
      <w:r w:rsidR="005E4C12" w:rsidRPr="007E21C6">
        <w:rPr>
          <w:rFonts w:ascii="Times New Roman" w:eastAsia="Times New Roman" w:hAnsi="Times New Roman" w:cs="Times New Roman"/>
          <w:color w:val="111111"/>
          <w:sz w:val="24"/>
          <w:szCs w:val="24"/>
        </w:rPr>
        <w:t>, and understanding the nuances of insurance coverage, firms can achieve a harmonious and successful merger or acquisition.</w:t>
      </w:r>
    </w:p>
    <w:p w14:paraId="07328F29" w14:textId="77777777" w:rsidR="000F6FB1" w:rsidRPr="007E21C6" w:rsidRDefault="000F6FB1" w:rsidP="00460669">
      <w:pPr>
        <w:spacing w:after="0" w:line="240" w:lineRule="auto"/>
        <w:rPr>
          <w:rFonts w:ascii="Times New Roman" w:eastAsia="Times New Roman" w:hAnsi="Times New Roman" w:cs="Times New Roman"/>
          <w:bCs/>
          <w:i/>
          <w:color w:val="000000"/>
          <w:sz w:val="24"/>
          <w:szCs w:val="24"/>
        </w:rPr>
      </w:pPr>
    </w:p>
    <w:p w14:paraId="598F8762" w14:textId="77777777" w:rsidR="005D5BFF" w:rsidRPr="007E21C6" w:rsidRDefault="005D5BFF">
      <w:pPr>
        <w:rPr>
          <w:rFonts w:ascii="Times New Roman" w:hAnsi="Times New Roman" w:cs="Times New Roman"/>
          <w:bCs/>
          <w:sz w:val="24"/>
          <w:szCs w:val="24"/>
        </w:rPr>
      </w:pPr>
    </w:p>
    <w:sectPr w:rsidR="005D5BFF" w:rsidRPr="007E21C6" w:rsidSect="004269C6">
      <w:headerReference w:type="default" r:id="rId11"/>
      <w:footerReference w:type="default" r:id="rId12"/>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BCC8B" w14:textId="77777777" w:rsidR="00725C39" w:rsidRDefault="00725C39">
      <w:pPr>
        <w:spacing w:after="0" w:line="240" w:lineRule="auto"/>
      </w:pPr>
      <w:r>
        <w:separator/>
      </w:r>
    </w:p>
  </w:endnote>
  <w:endnote w:type="continuationSeparator" w:id="0">
    <w:p w14:paraId="457FD3BD" w14:textId="77777777" w:rsidR="00725C39" w:rsidRDefault="00725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9AC05AA" w14:paraId="3F90A7F2" w14:textId="77777777" w:rsidTr="29AC05AA">
      <w:trPr>
        <w:trHeight w:val="300"/>
      </w:trPr>
      <w:tc>
        <w:tcPr>
          <w:tcW w:w="3120" w:type="dxa"/>
        </w:tcPr>
        <w:p w14:paraId="4E29FEBA" w14:textId="0BD24BF5" w:rsidR="29AC05AA" w:rsidRDefault="29AC05AA" w:rsidP="29AC05AA">
          <w:pPr>
            <w:pStyle w:val="Header"/>
            <w:ind w:left="-115"/>
          </w:pPr>
        </w:p>
      </w:tc>
      <w:tc>
        <w:tcPr>
          <w:tcW w:w="3120" w:type="dxa"/>
        </w:tcPr>
        <w:p w14:paraId="3151338F" w14:textId="4E0AAF05" w:rsidR="29AC05AA" w:rsidRDefault="29AC05AA" w:rsidP="29AC05AA">
          <w:pPr>
            <w:pStyle w:val="Header"/>
            <w:jc w:val="center"/>
          </w:pPr>
        </w:p>
      </w:tc>
      <w:tc>
        <w:tcPr>
          <w:tcW w:w="3120" w:type="dxa"/>
        </w:tcPr>
        <w:p w14:paraId="2BB5F43C" w14:textId="3FE21AD9" w:rsidR="29AC05AA" w:rsidRDefault="29AC05AA" w:rsidP="29AC05AA">
          <w:pPr>
            <w:pStyle w:val="Header"/>
            <w:ind w:right="-115"/>
            <w:jc w:val="right"/>
          </w:pPr>
        </w:p>
      </w:tc>
    </w:tr>
  </w:tbl>
  <w:p w14:paraId="6D7626F1" w14:textId="7C6ACF76" w:rsidR="29AC05AA" w:rsidRDefault="29AC05AA" w:rsidP="29AC0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9F22D" w14:textId="77777777" w:rsidR="00725C39" w:rsidRDefault="00725C39">
      <w:pPr>
        <w:spacing w:after="0" w:line="240" w:lineRule="auto"/>
      </w:pPr>
      <w:r>
        <w:separator/>
      </w:r>
    </w:p>
  </w:footnote>
  <w:footnote w:type="continuationSeparator" w:id="0">
    <w:p w14:paraId="4A4ABA94" w14:textId="77777777" w:rsidR="00725C39" w:rsidRDefault="00725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F638" w14:textId="23723E31" w:rsidR="00D406AF" w:rsidRDefault="004269C6" w:rsidP="00035463">
    <w:pPr>
      <w:pStyle w:val="NormalWeb"/>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781B"/>
    <w:multiLevelType w:val="multilevel"/>
    <w:tmpl w:val="E3CE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C0DF7"/>
    <w:multiLevelType w:val="hybridMultilevel"/>
    <w:tmpl w:val="C8503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810E3"/>
    <w:multiLevelType w:val="hybridMultilevel"/>
    <w:tmpl w:val="CF50C352"/>
    <w:lvl w:ilvl="0" w:tplc="B3E02A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07821"/>
    <w:multiLevelType w:val="hybridMultilevel"/>
    <w:tmpl w:val="A78C2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BA7CEF"/>
    <w:multiLevelType w:val="hybridMultilevel"/>
    <w:tmpl w:val="79484C86"/>
    <w:lvl w:ilvl="0" w:tplc="D49C09E0">
      <w:start w:val="1"/>
      <w:numFmt w:val="bullet"/>
      <w:lvlText w:val=""/>
      <w:lvlJc w:val="left"/>
      <w:pPr>
        <w:ind w:left="78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53B5E"/>
    <w:multiLevelType w:val="multilevel"/>
    <w:tmpl w:val="83BAE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C12B12"/>
    <w:multiLevelType w:val="multilevel"/>
    <w:tmpl w:val="30C4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E3724B"/>
    <w:multiLevelType w:val="multilevel"/>
    <w:tmpl w:val="FBA4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CC0D62"/>
    <w:multiLevelType w:val="hybridMultilevel"/>
    <w:tmpl w:val="2E3AD19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48883AC6"/>
    <w:multiLevelType w:val="hybridMultilevel"/>
    <w:tmpl w:val="F1F27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092025"/>
    <w:multiLevelType w:val="hybridMultilevel"/>
    <w:tmpl w:val="AD02B258"/>
    <w:lvl w:ilvl="0" w:tplc="57F0F452">
      <w:start w:val="1"/>
      <w:numFmt w:val="bullet"/>
      <w:lvlText w:val="•"/>
      <w:lvlJc w:val="left"/>
      <w:pPr>
        <w:tabs>
          <w:tab w:val="num" w:pos="720"/>
        </w:tabs>
        <w:ind w:left="720" w:hanging="360"/>
      </w:pPr>
      <w:rPr>
        <w:rFonts w:ascii="Arial" w:hAnsi="Arial" w:hint="default"/>
      </w:rPr>
    </w:lvl>
    <w:lvl w:ilvl="1" w:tplc="75B2B54E">
      <w:start w:val="1"/>
      <w:numFmt w:val="bullet"/>
      <w:lvlText w:val="•"/>
      <w:lvlJc w:val="left"/>
      <w:pPr>
        <w:tabs>
          <w:tab w:val="num" w:pos="1440"/>
        </w:tabs>
        <w:ind w:left="1440" w:hanging="360"/>
      </w:pPr>
      <w:rPr>
        <w:rFonts w:ascii="Arial" w:hAnsi="Arial" w:hint="default"/>
      </w:rPr>
    </w:lvl>
    <w:lvl w:ilvl="2" w:tplc="1B1081D2" w:tentative="1">
      <w:start w:val="1"/>
      <w:numFmt w:val="bullet"/>
      <w:lvlText w:val="•"/>
      <w:lvlJc w:val="left"/>
      <w:pPr>
        <w:tabs>
          <w:tab w:val="num" w:pos="2160"/>
        </w:tabs>
        <w:ind w:left="2160" w:hanging="360"/>
      </w:pPr>
      <w:rPr>
        <w:rFonts w:ascii="Arial" w:hAnsi="Arial" w:hint="default"/>
      </w:rPr>
    </w:lvl>
    <w:lvl w:ilvl="3" w:tplc="FDD4643E" w:tentative="1">
      <w:start w:val="1"/>
      <w:numFmt w:val="bullet"/>
      <w:lvlText w:val="•"/>
      <w:lvlJc w:val="left"/>
      <w:pPr>
        <w:tabs>
          <w:tab w:val="num" w:pos="2880"/>
        </w:tabs>
        <w:ind w:left="2880" w:hanging="360"/>
      </w:pPr>
      <w:rPr>
        <w:rFonts w:ascii="Arial" w:hAnsi="Arial" w:hint="default"/>
      </w:rPr>
    </w:lvl>
    <w:lvl w:ilvl="4" w:tplc="32B01A1A" w:tentative="1">
      <w:start w:val="1"/>
      <w:numFmt w:val="bullet"/>
      <w:lvlText w:val="•"/>
      <w:lvlJc w:val="left"/>
      <w:pPr>
        <w:tabs>
          <w:tab w:val="num" w:pos="3600"/>
        </w:tabs>
        <w:ind w:left="3600" w:hanging="360"/>
      </w:pPr>
      <w:rPr>
        <w:rFonts w:ascii="Arial" w:hAnsi="Arial" w:hint="default"/>
      </w:rPr>
    </w:lvl>
    <w:lvl w:ilvl="5" w:tplc="9576689A" w:tentative="1">
      <w:start w:val="1"/>
      <w:numFmt w:val="bullet"/>
      <w:lvlText w:val="•"/>
      <w:lvlJc w:val="left"/>
      <w:pPr>
        <w:tabs>
          <w:tab w:val="num" w:pos="4320"/>
        </w:tabs>
        <w:ind w:left="4320" w:hanging="360"/>
      </w:pPr>
      <w:rPr>
        <w:rFonts w:ascii="Arial" w:hAnsi="Arial" w:hint="default"/>
      </w:rPr>
    </w:lvl>
    <w:lvl w:ilvl="6" w:tplc="6EEE0CD6" w:tentative="1">
      <w:start w:val="1"/>
      <w:numFmt w:val="bullet"/>
      <w:lvlText w:val="•"/>
      <w:lvlJc w:val="left"/>
      <w:pPr>
        <w:tabs>
          <w:tab w:val="num" w:pos="5040"/>
        </w:tabs>
        <w:ind w:left="5040" w:hanging="360"/>
      </w:pPr>
      <w:rPr>
        <w:rFonts w:ascii="Arial" w:hAnsi="Arial" w:hint="default"/>
      </w:rPr>
    </w:lvl>
    <w:lvl w:ilvl="7" w:tplc="F322DF74" w:tentative="1">
      <w:start w:val="1"/>
      <w:numFmt w:val="bullet"/>
      <w:lvlText w:val="•"/>
      <w:lvlJc w:val="left"/>
      <w:pPr>
        <w:tabs>
          <w:tab w:val="num" w:pos="5760"/>
        </w:tabs>
        <w:ind w:left="5760" w:hanging="360"/>
      </w:pPr>
      <w:rPr>
        <w:rFonts w:ascii="Arial" w:hAnsi="Arial" w:hint="default"/>
      </w:rPr>
    </w:lvl>
    <w:lvl w:ilvl="8" w:tplc="13D07A5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30403C5"/>
    <w:multiLevelType w:val="multilevel"/>
    <w:tmpl w:val="BD78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B90352"/>
    <w:multiLevelType w:val="multilevel"/>
    <w:tmpl w:val="0BE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CA6A05"/>
    <w:multiLevelType w:val="hybridMultilevel"/>
    <w:tmpl w:val="BFBC3F40"/>
    <w:lvl w:ilvl="0" w:tplc="D49C09E0">
      <w:start w:val="1"/>
      <w:numFmt w:val="bullet"/>
      <w:lvlText w:val=""/>
      <w:lvlJc w:val="left"/>
      <w:pPr>
        <w:ind w:left="780" w:hanging="360"/>
      </w:pPr>
      <w:rPr>
        <w:rFonts w:ascii="Symbol" w:hAnsi="Symbol" w:hint="default"/>
        <w:sz w:val="18"/>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685252A7"/>
    <w:multiLevelType w:val="multilevel"/>
    <w:tmpl w:val="43BA9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315B7E"/>
    <w:multiLevelType w:val="hybridMultilevel"/>
    <w:tmpl w:val="D8585A02"/>
    <w:lvl w:ilvl="0" w:tplc="04090001">
      <w:start w:val="1"/>
      <w:numFmt w:val="bullet"/>
      <w:lvlText w:val=""/>
      <w:lvlJc w:val="left"/>
      <w:pPr>
        <w:ind w:left="720" w:hanging="360"/>
      </w:pPr>
      <w:rPr>
        <w:rFonts w:ascii="Symbol" w:hAnsi="Symbol" w:hint="default"/>
      </w:rPr>
    </w:lvl>
    <w:lvl w:ilvl="1" w:tplc="891ED26A">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064968">
    <w:abstractNumId w:val="13"/>
  </w:num>
  <w:num w:numId="2" w16cid:durableId="710229989">
    <w:abstractNumId w:val="4"/>
  </w:num>
  <w:num w:numId="3" w16cid:durableId="1943994452">
    <w:abstractNumId w:val="8"/>
  </w:num>
  <w:num w:numId="4" w16cid:durableId="725641005">
    <w:abstractNumId w:val="9"/>
  </w:num>
  <w:num w:numId="5" w16cid:durableId="1633172203">
    <w:abstractNumId w:val="15"/>
  </w:num>
  <w:num w:numId="6" w16cid:durableId="1615474684">
    <w:abstractNumId w:val="3"/>
  </w:num>
  <w:num w:numId="7" w16cid:durableId="1851412557">
    <w:abstractNumId w:val="2"/>
  </w:num>
  <w:num w:numId="8" w16cid:durableId="1324041013">
    <w:abstractNumId w:val="1"/>
  </w:num>
  <w:num w:numId="9" w16cid:durableId="2040423076">
    <w:abstractNumId w:val="5"/>
  </w:num>
  <w:num w:numId="10" w16cid:durableId="1822501234">
    <w:abstractNumId w:val="14"/>
  </w:num>
  <w:num w:numId="11" w16cid:durableId="1729693899">
    <w:abstractNumId w:val="7"/>
  </w:num>
  <w:num w:numId="12" w16cid:durableId="894270162">
    <w:abstractNumId w:val="0"/>
  </w:num>
  <w:num w:numId="13" w16cid:durableId="1855993404">
    <w:abstractNumId w:val="6"/>
  </w:num>
  <w:num w:numId="14" w16cid:durableId="1399598621">
    <w:abstractNumId w:val="12"/>
  </w:num>
  <w:num w:numId="15" w16cid:durableId="1817410640">
    <w:abstractNumId w:val="11"/>
  </w:num>
  <w:num w:numId="16" w16cid:durableId="17839188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EA4"/>
    <w:rsid w:val="0002558F"/>
    <w:rsid w:val="000319C9"/>
    <w:rsid w:val="00035463"/>
    <w:rsid w:val="00052C57"/>
    <w:rsid w:val="00062CCC"/>
    <w:rsid w:val="000873B1"/>
    <w:rsid w:val="00097800"/>
    <w:rsid w:val="000C2A7C"/>
    <w:rsid w:val="000D4A62"/>
    <w:rsid w:val="000F6FB1"/>
    <w:rsid w:val="00117ABC"/>
    <w:rsid w:val="001356EF"/>
    <w:rsid w:val="001434D7"/>
    <w:rsid w:val="00144FA3"/>
    <w:rsid w:val="00151109"/>
    <w:rsid w:val="00155F6B"/>
    <w:rsid w:val="00182475"/>
    <w:rsid w:val="0019480D"/>
    <w:rsid w:val="001A791F"/>
    <w:rsid w:val="00201079"/>
    <w:rsid w:val="002208F8"/>
    <w:rsid w:val="00264772"/>
    <w:rsid w:val="002771F4"/>
    <w:rsid w:val="00294D89"/>
    <w:rsid w:val="002A6038"/>
    <w:rsid w:val="002A6442"/>
    <w:rsid w:val="002C5554"/>
    <w:rsid w:val="002C6D8C"/>
    <w:rsid w:val="002E52CA"/>
    <w:rsid w:val="00303A76"/>
    <w:rsid w:val="0037015F"/>
    <w:rsid w:val="00386576"/>
    <w:rsid w:val="003A70AA"/>
    <w:rsid w:val="003B7970"/>
    <w:rsid w:val="003D75F9"/>
    <w:rsid w:val="004178FF"/>
    <w:rsid w:val="004258B4"/>
    <w:rsid w:val="004261C1"/>
    <w:rsid w:val="004269C6"/>
    <w:rsid w:val="004336CA"/>
    <w:rsid w:val="0044091B"/>
    <w:rsid w:val="00451227"/>
    <w:rsid w:val="00460669"/>
    <w:rsid w:val="00496005"/>
    <w:rsid w:val="004F709F"/>
    <w:rsid w:val="00522CF5"/>
    <w:rsid w:val="0052649D"/>
    <w:rsid w:val="00534E0A"/>
    <w:rsid w:val="0054760A"/>
    <w:rsid w:val="00594BD7"/>
    <w:rsid w:val="005A014B"/>
    <w:rsid w:val="005B64F2"/>
    <w:rsid w:val="005C0536"/>
    <w:rsid w:val="005D5BFF"/>
    <w:rsid w:val="005E28EA"/>
    <w:rsid w:val="005E4C12"/>
    <w:rsid w:val="00625073"/>
    <w:rsid w:val="00633545"/>
    <w:rsid w:val="00692C9F"/>
    <w:rsid w:val="0069423B"/>
    <w:rsid w:val="006E3070"/>
    <w:rsid w:val="006F1816"/>
    <w:rsid w:val="006F2739"/>
    <w:rsid w:val="007176CC"/>
    <w:rsid w:val="0072278F"/>
    <w:rsid w:val="00725C39"/>
    <w:rsid w:val="0074436F"/>
    <w:rsid w:val="00754E48"/>
    <w:rsid w:val="00757991"/>
    <w:rsid w:val="00795C7E"/>
    <w:rsid w:val="007E21C6"/>
    <w:rsid w:val="007E5703"/>
    <w:rsid w:val="007F4247"/>
    <w:rsid w:val="007F46A8"/>
    <w:rsid w:val="007F47D5"/>
    <w:rsid w:val="00822BB4"/>
    <w:rsid w:val="0086354D"/>
    <w:rsid w:val="00886684"/>
    <w:rsid w:val="008945DD"/>
    <w:rsid w:val="008B2C04"/>
    <w:rsid w:val="008E0073"/>
    <w:rsid w:val="009150D6"/>
    <w:rsid w:val="00926329"/>
    <w:rsid w:val="0094419B"/>
    <w:rsid w:val="00957E91"/>
    <w:rsid w:val="0097161F"/>
    <w:rsid w:val="009A16A8"/>
    <w:rsid w:val="009A2BB9"/>
    <w:rsid w:val="009A4944"/>
    <w:rsid w:val="009C53B0"/>
    <w:rsid w:val="00A23ECA"/>
    <w:rsid w:val="00A44AF8"/>
    <w:rsid w:val="00A855BF"/>
    <w:rsid w:val="00A93928"/>
    <w:rsid w:val="00AA7A95"/>
    <w:rsid w:val="00AC0F13"/>
    <w:rsid w:val="00AE1DDD"/>
    <w:rsid w:val="00AF4935"/>
    <w:rsid w:val="00B03B57"/>
    <w:rsid w:val="00B17B44"/>
    <w:rsid w:val="00B27AC7"/>
    <w:rsid w:val="00B31EF8"/>
    <w:rsid w:val="00B37498"/>
    <w:rsid w:val="00B422E3"/>
    <w:rsid w:val="00B84F17"/>
    <w:rsid w:val="00C23515"/>
    <w:rsid w:val="00C269D5"/>
    <w:rsid w:val="00C62E3B"/>
    <w:rsid w:val="00CA1264"/>
    <w:rsid w:val="00CB0486"/>
    <w:rsid w:val="00D406AF"/>
    <w:rsid w:val="00D76031"/>
    <w:rsid w:val="00DB0B68"/>
    <w:rsid w:val="00DB66D2"/>
    <w:rsid w:val="00DF16B8"/>
    <w:rsid w:val="00DF1C5E"/>
    <w:rsid w:val="00E05672"/>
    <w:rsid w:val="00E07EA4"/>
    <w:rsid w:val="00E1606C"/>
    <w:rsid w:val="00E173A8"/>
    <w:rsid w:val="00E42B81"/>
    <w:rsid w:val="00E53499"/>
    <w:rsid w:val="00E96A95"/>
    <w:rsid w:val="00E97CF7"/>
    <w:rsid w:val="00EA741D"/>
    <w:rsid w:val="00EB53A5"/>
    <w:rsid w:val="00EC5339"/>
    <w:rsid w:val="00EF4CC8"/>
    <w:rsid w:val="00F27507"/>
    <w:rsid w:val="00F32E4D"/>
    <w:rsid w:val="00F44462"/>
    <w:rsid w:val="00F54AC4"/>
    <w:rsid w:val="00F6392F"/>
    <w:rsid w:val="00F73E05"/>
    <w:rsid w:val="00F808D2"/>
    <w:rsid w:val="00F83A8F"/>
    <w:rsid w:val="00F912DC"/>
    <w:rsid w:val="00F91C7D"/>
    <w:rsid w:val="00FC1776"/>
    <w:rsid w:val="00FC51E2"/>
    <w:rsid w:val="00FD6A1B"/>
    <w:rsid w:val="068E87C2"/>
    <w:rsid w:val="29AC05AA"/>
    <w:rsid w:val="45E4F071"/>
    <w:rsid w:val="4CD10A87"/>
    <w:rsid w:val="53AC0BB8"/>
    <w:rsid w:val="58A3E7B5"/>
    <w:rsid w:val="5AA2D2A0"/>
    <w:rsid w:val="60710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E2BD2"/>
  <w15:chartTrackingRefBased/>
  <w15:docId w15:val="{737CC8F5-F4A0-422B-9845-3A1C3EBF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EA4"/>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757991"/>
    <w:pPr>
      <w:spacing w:after="0" w:line="240" w:lineRule="auto"/>
    </w:pPr>
  </w:style>
  <w:style w:type="character" w:styleId="CommentReference">
    <w:name w:val="annotation reference"/>
    <w:basedOn w:val="DefaultParagraphFont"/>
    <w:uiPriority w:val="99"/>
    <w:semiHidden/>
    <w:unhideWhenUsed/>
    <w:rsid w:val="00182475"/>
    <w:rPr>
      <w:sz w:val="16"/>
      <w:szCs w:val="16"/>
    </w:rPr>
  </w:style>
  <w:style w:type="paragraph" w:styleId="CommentText">
    <w:name w:val="annotation text"/>
    <w:basedOn w:val="Normal"/>
    <w:link w:val="CommentTextChar"/>
    <w:uiPriority w:val="99"/>
    <w:unhideWhenUsed/>
    <w:rsid w:val="00182475"/>
    <w:pPr>
      <w:spacing w:line="240" w:lineRule="auto"/>
    </w:pPr>
    <w:rPr>
      <w:sz w:val="20"/>
      <w:szCs w:val="20"/>
    </w:rPr>
  </w:style>
  <w:style w:type="character" w:customStyle="1" w:styleId="CommentTextChar">
    <w:name w:val="Comment Text Char"/>
    <w:basedOn w:val="DefaultParagraphFont"/>
    <w:link w:val="CommentText"/>
    <w:uiPriority w:val="99"/>
    <w:rsid w:val="00182475"/>
    <w:rPr>
      <w:sz w:val="20"/>
      <w:szCs w:val="20"/>
    </w:rPr>
  </w:style>
  <w:style w:type="paragraph" w:styleId="CommentSubject">
    <w:name w:val="annotation subject"/>
    <w:basedOn w:val="CommentText"/>
    <w:next w:val="CommentText"/>
    <w:link w:val="CommentSubjectChar"/>
    <w:uiPriority w:val="99"/>
    <w:semiHidden/>
    <w:unhideWhenUsed/>
    <w:rsid w:val="00182475"/>
    <w:rPr>
      <w:b/>
      <w:bCs/>
    </w:rPr>
  </w:style>
  <w:style w:type="character" w:customStyle="1" w:styleId="CommentSubjectChar">
    <w:name w:val="Comment Subject Char"/>
    <w:basedOn w:val="CommentTextChar"/>
    <w:link w:val="CommentSubject"/>
    <w:uiPriority w:val="99"/>
    <w:semiHidden/>
    <w:rsid w:val="00182475"/>
    <w:rPr>
      <w:b/>
      <w:bCs/>
      <w:sz w:val="20"/>
      <w:szCs w:val="20"/>
    </w:rPr>
  </w:style>
  <w:style w:type="paragraph" w:styleId="NormalWeb">
    <w:name w:val="Normal (Web)"/>
    <w:basedOn w:val="Normal"/>
    <w:uiPriority w:val="99"/>
    <w:unhideWhenUsed/>
    <w:rsid w:val="000354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94142">
      <w:bodyDiv w:val="1"/>
      <w:marLeft w:val="0"/>
      <w:marRight w:val="0"/>
      <w:marTop w:val="0"/>
      <w:marBottom w:val="0"/>
      <w:divBdr>
        <w:top w:val="none" w:sz="0" w:space="0" w:color="auto"/>
        <w:left w:val="none" w:sz="0" w:space="0" w:color="auto"/>
        <w:bottom w:val="none" w:sz="0" w:space="0" w:color="auto"/>
        <w:right w:val="none" w:sz="0" w:space="0" w:color="auto"/>
      </w:divBdr>
    </w:div>
    <w:div w:id="513302676">
      <w:bodyDiv w:val="1"/>
      <w:marLeft w:val="0"/>
      <w:marRight w:val="0"/>
      <w:marTop w:val="0"/>
      <w:marBottom w:val="0"/>
      <w:divBdr>
        <w:top w:val="none" w:sz="0" w:space="0" w:color="auto"/>
        <w:left w:val="none" w:sz="0" w:space="0" w:color="auto"/>
        <w:bottom w:val="none" w:sz="0" w:space="0" w:color="auto"/>
        <w:right w:val="none" w:sz="0" w:space="0" w:color="auto"/>
      </w:divBdr>
      <w:divsChild>
        <w:div w:id="497961046">
          <w:marLeft w:val="461"/>
          <w:marRight w:val="0"/>
          <w:marTop w:val="0"/>
          <w:marBottom w:val="0"/>
          <w:divBdr>
            <w:top w:val="none" w:sz="0" w:space="0" w:color="auto"/>
            <w:left w:val="none" w:sz="0" w:space="0" w:color="auto"/>
            <w:bottom w:val="none" w:sz="0" w:space="0" w:color="auto"/>
            <w:right w:val="none" w:sz="0" w:space="0" w:color="auto"/>
          </w:divBdr>
        </w:div>
      </w:divsChild>
    </w:div>
    <w:div w:id="1246379023">
      <w:bodyDiv w:val="1"/>
      <w:marLeft w:val="0"/>
      <w:marRight w:val="0"/>
      <w:marTop w:val="0"/>
      <w:marBottom w:val="0"/>
      <w:divBdr>
        <w:top w:val="none" w:sz="0" w:space="0" w:color="auto"/>
        <w:left w:val="none" w:sz="0" w:space="0" w:color="auto"/>
        <w:bottom w:val="none" w:sz="0" w:space="0" w:color="auto"/>
        <w:right w:val="none" w:sz="0" w:space="0" w:color="auto"/>
      </w:divBdr>
    </w:div>
    <w:div w:id="1395927495">
      <w:bodyDiv w:val="1"/>
      <w:marLeft w:val="0"/>
      <w:marRight w:val="0"/>
      <w:marTop w:val="0"/>
      <w:marBottom w:val="0"/>
      <w:divBdr>
        <w:top w:val="none" w:sz="0" w:space="0" w:color="auto"/>
        <w:left w:val="none" w:sz="0" w:space="0" w:color="auto"/>
        <w:bottom w:val="none" w:sz="0" w:space="0" w:color="auto"/>
        <w:right w:val="none" w:sz="0" w:space="0" w:color="auto"/>
      </w:divBdr>
    </w:div>
    <w:div w:id="165671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5CF91C768CC849A8A0840F737E536D" ma:contentTypeVersion="24" ma:contentTypeDescription="Create a new document." ma:contentTypeScope="" ma:versionID="12433fd5e9cf04a3babdefc6f779efad">
  <xsd:schema xmlns:xsd="http://www.w3.org/2001/XMLSchema" xmlns:xs="http://www.w3.org/2001/XMLSchema" xmlns:p="http://schemas.microsoft.com/office/2006/metadata/properties" xmlns:ns2="d1b05284-cf3f-4576-99a2-aa8ec7cc0ff1" xmlns:ns3="3261a78c-d450-4c7a-9054-f88071cdb3eb" targetNamespace="http://schemas.microsoft.com/office/2006/metadata/properties" ma:root="true" ma:fieldsID="753aa70c815f8e1aa026b516beb1e849" ns2:_="" ns3:_="">
    <xsd:import namespace="d1b05284-cf3f-4576-99a2-aa8ec7cc0ff1"/>
    <xsd:import namespace="3261a78c-d450-4c7a-9054-f88071cdb3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9qi" minOccurs="0"/>
                <xsd:element ref="ns2:sw9x"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05284-cf3f-4576-99a2-aa8ec7cc0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9qi" ma:index="20" nillable="true" ma:displayName="Date and time" ma:internalName="c9qi">
      <xsd:simpleType>
        <xsd:restriction base="dms:DateTime"/>
      </xsd:simpleType>
    </xsd:element>
    <xsd:element name="sw9x" ma:index="21" nillable="true" ma:displayName="Number" ma:internalName="sw9x">
      <xsd:simpleType>
        <xsd:restriction base="dms:Number"/>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93ef8ae-da93-4c74-b72b-0e7cc08fc1a8"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Link" ma:index="2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61a78c-d450-4c7a-9054-f88071cdb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272d60f-c270-49f9-a675-34586b165ff6}" ma:internalName="TaxCatchAll" ma:showField="CatchAllData" ma:web="3261a78c-d450-4c7a-9054-f88071cdb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b05284-cf3f-4576-99a2-aa8ec7cc0ff1">
      <Terms xmlns="http://schemas.microsoft.com/office/infopath/2007/PartnerControls"/>
    </lcf76f155ced4ddcb4097134ff3c332f>
    <_Flow_SignoffStatus xmlns="d1b05284-cf3f-4576-99a2-aa8ec7cc0ff1" xsi:nil="true"/>
    <TaxCatchAll xmlns="3261a78c-d450-4c7a-9054-f88071cdb3eb" xsi:nil="true"/>
    <c9qi xmlns="d1b05284-cf3f-4576-99a2-aa8ec7cc0ff1" xsi:nil="true"/>
    <sw9x xmlns="d1b05284-cf3f-4576-99a2-aa8ec7cc0ff1" xsi:nil="true"/>
    <Link xmlns="d1b05284-cf3f-4576-99a2-aa8ec7cc0ff1">
      <Url xsi:nil="true"/>
      <Description xsi:nil="true"/>
    </Link>
  </documentManagement>
</p:properties>
</file>

<file path=customXml/itemProps1.xml><?xml version="1.0" encoding="utf-8"?>
<ds:datastoreItem xmlns:ds="http://schemas.openxmlformats.org/officeDocument/2006/customXml" ds:itemID="{3190027C-8330-46B6-A05B-B875F1498A5C}">
  <ds:schemaRefs>
    <ds:schemaRef ds:uri="http://schemas.microsoft.com/sharepoint/v3/contenttype/forms"/>
  </ds:schemaRefs>
</ds:datastoreItem>
</file>

<file path=customXml/itemProps2.xml><?xml version="1.0" encoding="utf-8"?>
<ds:datastoreItem xmlns:ds="http://schemas.openxmlformats.org/officeDocument/2006/customXml" ds:itemID="{F511E8BD-68C3-4862-8746-7737A23A856B}"/>
</file>

<file path=customXml/itemProps3.xml><?xml version="1.0" encoding="utf-8"?>
<ds:datastoreItem xmlns:ds="http://schemas.openxmlformats.org/officeDocument/2006/customXml" ds:itemID="{5DC20833-2219-4B81-8C13-AC184171F724}">
  <ds:schemaRefs>
    <ds:schemaRef ds:uri="http://schemas.microsoft.com/office/2006/metadata/properties"/>
    <ds:schemaRef ds:uri="http://schemas.microsoft.com/office/infopath/2007/PartnerControls"/>
    <ds:schemaRef ds:uri="d1b05284-cf3f-4576-99a2-aa8ec7cc0ff1"/>
    <ds:schemaRef ds:uri="3261a78c-d450-4c7a-9054-f88071cdb3eb"/>
  </ds:schemaRefs>
</ds:datastoreItem>
</file>

<file path=docMetadata/LabelInfo.xml><?xml version="1.0" encoding="utf-8"?>
<clbl:labelList xmlns:clbl="http://schemas.microsoft.com/office/2020/mipLabelMetadata">
  <clbl:label id="{e3608b1d-a8c6-4d15-8d70-1c8023f30311}" enabled="1" method="Privileged" siteId="{53b7cac7-14be-46d4-be43-f2ad9244d901}"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7</Pages>
  <Words>2037</Words>
  <Characters>9027</Characters>
  <Application>Microsoft Office Word</Application>
  <DocSecurity>0</DocSecurity>
  <Lines>125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Landon Fisher</dc:creator>
  <cp:keywords/>
  <dc:description/>
  <cp:lastModifiedBy>RPG</cp:lastModifiedBy>
  <cp:revision>5</cp:revision>
  <cp:lastPrinted>2025-01-17T16:27:00Z</cp:lastPrinted>
  <dcterms:created xsi:type="dcterms:W3CDTF">2025-01-17T16:35:00Z</dcterms:created>
  <dcterms:modified xsi:type="dcterms:W3CDTF">2025-01-17T16:44:00Z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0x010100C15CF91C768CC849A8A0840F737E536D</vt:lpwstr>
  </property>
  <property fmtid="{D5CDD505-2E9C-101B-9397-08002B2CF9AE}" pid="3" name="MediaServiceImageTags">
    <vt:lpwstr/>
  </property>
</Properties>
</file>