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6B26" w:rsidR="002C4751" w:rsidP="457261AA" w:rsidRDefault="002C4751" w14:paraId="4D3C9726" w14:textId="77777777" w14:noSpellErr="1">
      <w:pPr>
        <w:pStyle w:val="NormalWeb"/>
        <w:jc w:val="center"/>
        <w:rPr>
          <w:b w:val="1"/>
          <w:bCs w:val="1"/>
          <w:u w:val="single"/>
        </w:rPr>
      </w:pPr>
      <w:r w:rsidRPr="457261AA" w:rsidR="002C4751">
        <w:rPr>
          <w:b w:val="1"/>
          <w:bCs w:val="1"/>
          <w:u w:val="single"/>
        </w:rPr>
        <w:t>Revitalize Your Firm’s Risk Management Process—For Free!</w:t>
      </w:r>
    </w:p>
    <w:p w:rsidRPr="003C6B26" w:rsidR="002C4751" w:rsidP="002C4751" w:rsidRDefault="002C4751" w14:paraId="287F7867" w14:textId="77777777">
      <w:pPr>
        <w:pStyle w:val="NormalWeb"/>
      </w:pPr>
      <w:r w:rsidRPr="003C6B26">
        <w:t>Risk management is a vital component of any successful A/E firm. Whether you’re establishing a new program or refining an existing one, taking proactive steps to mitigate risks can safeguard your firm’s reputation, profitability, and future stability.</w:t>
      </w:r>
    </w:p>
    <w:p w:rsidRPr="003C6B26" w:rsidR="002C4751" w:rsidP="002C4751" w:rsidRDefault="002C4751" w14:paraId="3D3ADAF7" w14:textId="77777777">
      <w:pPr>
        <w:pStyle w:val="NormalWeb"/>
      </w:pPr>
      <w:r w:rsidRPr="003C6B26">
        <w:t>Fortunately, strengthening your firm’s risk management framework doesn’t require expensive consultants or complex software—there are a wealth of free resources available to help you build a comprehensive strategy. By leveraging accessible tools and industry best practices, you can establish a structured approach to risk mitigation while ensuring long-term success.</w:t>
      </w:r>
    </w:p>
    <w:p w:rsidRPr="003C6B26" w:rsidR="002C4751" w:rsidP="002C4751" w:rsidRDefault="002C4751" w14:paraId="15EEFD84" w14:textId="77777777">
      <w:pPr>
        <w:pStyle w:val="NormalWeb"/>
      </w:pPr>
      <w:r w:rsidRPr="003C6B26">
        <w:rPr>
          <w:rStyle w:val="Strong"/>
          <w:rFonts w:eastAsiaTheme="majorEastAsia"/>
        </w:rPr>
        <w:t>Leveraging Free Resources to Strengthen Risk Management</w:t>
      </w:r>
    </w:p>
    <w:p w:rsidRPr="003C6B26" w:rsidR="002C4751" w:rsidP="002C4751" w:rsidRDefault="002C4751" w14:paraId="0C8064E2" w14:textId="77777777">
      <w:pPr>
        <w:pStyle w:val="NormalWeb"/>
      </w:pPr>
      <w:r w:rsidRPr="003C6B26">
        <w:t>A/E firms have access to numerous free or low-cost resources that can significantly improve their risk management strategies. From structured internal processes to industry guidance, taking advantage of these tools can help your firm identify, mitigate, and prevent common risks. Below are essential components firms should prioritize.</w:t>
      </w:r>
    </w:p>
    <w:p w:rsidRPr="003C6B26" w:rsidR="002C4751" w:rsidP="002C4751" w:rsidRDefault="002C4751" w14:paraId="34AAE0DC" w14:textId="77777777">
      <w:pPr>
        <w:pStyle w:val="NormalWeb"/>
      </w:pPr>
      <w:r w:rsidRPr="003C6B26">
        <w:rPr>
          <w:rStyle w:val="Strong"/>
          <w:rFonts w:eastAsiaTheme="majorEastAsia"/>
        </w:rPr>
        <w:t>QA/QC Processes: Establishing a Culture of Excellence</w:t>
      </w:r>
    </w:p>
    <w:p w:rsidRPr="003C6B26" w:rsidR="002C4751" w:rsidP="002C4751" w:rsidRDefault="002C4751" w14:paraId="1A811896" w14:textId="77777777">
      <w:pPr>
        <w:pStyle w:val="NormalWeb"/>
      </w:pPr>
      <w:r w:rsidRPr="003C6B26">
        <w:t>Quality assurance (QA) and quality control (QC) are fundamental to reducing liability and ensuring project success. Strong QA/QC protocols help firms avoid costly errors, maintain industry standards, and foster consistency across projects.</w:t>
      </w:r>
    </w:p>
    <w:p w:rsidRPr="003C6B26" w:rsidR="002C4751" w:rsidP="002C4751" w:rsidRDefault="002C4751" w14:paraId="5458E6BE" w14:textId="77777777">
      <w:pPr>
        <w:pStyle w:val="NormalWeb"/>
      </w:pPr>
      <w:r w:rsidRPr="003C6B26">
        <w:t>To enhance your firm’s QA/QC practices without incurring significant costs, consider the following:</w:t>
      </w:r>
    </w:p>
    <w:p w:rsidRPr="002C4751" w:rsidR="002C4751" w:rsidP="002C4751" w:rsidRDefault="002C4751" w14:paraId="7198E1E9" w14:textId="77777777">
      <w:pPr>
        <w:numPr>
          <w:ilvl w:val="0"/>
          <w:numId w:val="4"/>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Standardized Review Checklists:</w:t>
      </w:r>
      <w:r w:rsidRPr="002C4751">
        <w:rPr>
          <w:rFonts w:ascii="Times New Roman" w:hAnsi="Times New Roman" w:eastAsia="Times New Roman" w:cs="Times New Roman"/>
          <w:kern w:val="0"/>
          <w14:ligatures w14:val="none"/>
        </w:rPr>
        <w:t xml:space="preserve"> Develop discipline-specific checklists to ensure consistent review of drawings, specifications, and contracts.</w:t>
      </w:r>
    </w:p>
    <w:p w:rsidRPr="002C4751" w:rsidR="002C4751" w:rsidP="002C4751" w:rsidRDefault="002C4751" w14:paraId="111F8E26" w14:textId="77777777">
      <w:pPr>
        <w:numPr>
          <w:ilvl w:val="0"/>
          <w:numId w:val="4"/>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Peer Review Systems:</w:t>
      </w:r>
      <w:r w:rsidRPr="002C4751">
        <w:rPr>
          <w:rFonts w:ascii="Times New Roman" w:hAnsi="Times New Roman" w:eastAsia="Times New Roman" w:cs="Times New Roman"/>
          <w:kern w:val="0"/>
          <w14:ligatures w14:val="none"/>
        </w:rPr>
        <w:t xml:space="preserve"> Implement regular internal peer reviews to catch potential issues before project submission.</w:t>
      </w:r>
    </w:p>
    <w:p w:rsidRPr="002C4751" w:rsidR="002C4751" w:rsidP="002C4751" w:rsidRDefault="002C4751" w14:paraId="029D0DDE" w14:textId="77777777">
      <w:pPr>
        <w:numPr>
          <w:ilvl w:val="0"/>
          <w:numId w:val="4"/>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Automated Document Control:</w:t>
      </w:r>
      <w:r w:rsidRPr="002C4751">
        <w:rPr>
          <w:rFonts w:ascii="Times New Roman" w:hAnsi="Times New Roman" w:eastAsia="Times New Roman" w:cs="Times New Roman"/>
          <w:kern w:val="0"/>
          <w14:ligatures w14:val="none"/>
        </w:rPr>
        <w:t xml:space="preserve"> Use free or low-cost document management systems to ensure rigorous version control of project files.</w:t>
      </w:r>
    </w:p>
    <w:p w:rsidRPr="002C4751" w:rsidR="002C4751" w:rsidP="002C4751" w:rsidRDefault="002C4751" w14:paraId="5E29AAC1" w14:textId="77777777">
      <w:pPr>
        <w:numPr>
          <w:ilvl w:val="0"/>
          <w:numId w:val="4"/>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Lessons Learned Database:</w:t>
      </w:r>
      <w:r w:rsidRPr="002C4751">
        <w:rPr>
          <w:rFonts w:ascii="Times New Roman" w:hAnsi="Times New Roman" w:eastAsia="Times New Roman" w:cs="Times New Roman"/>
          <w:kern w:val="0"/>
          <w14:ligatures w14:val="none"/>
        </w:rPr>
        <w:t xml:space="preserve"> Maintain a shared repository where employees can document issues from previous projects and best practices for avoiding similar pitfalls.</w:t>
      </w:r>
    </w:p>
    <w:p w:rsidRPr="002C4751" w:rsidR="002C4751" w:rsidP="002C4751" w:rsidRDefault="002C4751" w14:paraId="7F88954A"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Many industry organizations provide free QA/QC guidelines, templates, and training materials that firms can incorporate into their workflows. Leveraging these resources can significantly improve project outcomes and reduce exposure to claims.</w:t>
      </w:r>
    </w:p>
    <w:p w:rsidRPr="002C4751" w:rsidR="002C4751" w:rsidP="002C4751" w:rsidRDefault="002C4751" w14:paraId="35D42D4C"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Go/No-Go Project Analysis: Preventing Costly Commitments</w:t>
      </w:r>
    </w:p>
    <w:p w:rsidRPr="002C4751" w:rsidR="002C4751" w:rsidP="002C4751" w:rsidRDefault="002C4751" w14:paraId="27DA885D"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Not all projects are worth pursuing—some pose excessive risk or fail to align with a firm’s expertise. A structured Go/No-Go analysis ensures strategic decision-making before committing resources.</w:t>
      </w:r>
    </w:p>
    <w:p w:rsidRPr="002C4751" w:rsidR="002C4751" w:rsidP="002C4751" w:rsidRDefault="002C4751" w14:paraId="05AE23C4"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lastRenderedPageBreak/>
        <w:t>Firms can utilize free resources such as industry benchmarking reports, risk assessment templates, and professional liability carrier insights to strengthen their project selection process. Key components include:</w:t>
      </w:r>
    </w:p>
    <w:p w:rsidRPr="002C4751" w:rsidR="002C4751" w:rsidP="002C4751" w:rsidRDefault="002C4751" w14:paraId="049ED0BA" w14:textId="77777777">
      <w:pPr>
        <w:numPr>
          <w:ilvl w:val="0"/>
          <w:numId w:val="5"/>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Project Viability Metrics:</w:t>
      </w:r>
      <w:r w:rsidRPr="002C4751">
        <w:rPr>
          <w:rFonts w:ascii="Times New Roman" w:hAnsi="Times New Roman" w:eastAsia="Times New Roman" w:cs="Times New Roman"/>
          <w:kern w:val="0"/>
          <w14:ligatures w14:val="none"/>
        </w:rPr>
        <w:t xml:space="preserve"> Evaluate feasibility based on financial return, project complexity, and resource availability.</w:t>
      </w:r>
    </w:p>
    <w:p w:rsidRPr="002C4751" w:rsidR="002C4751" w:rsidP="002C4751" w:rsidRDefault="002C4751" w14:paraId="5BBA1DBA" w14:textId="77777777">
      <w:pPr>
        <w:numPr>
          <w:ilvl w:val="0"/>
          <w:numId w:val="5"/>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Client Risk Assessments:</w:t>
      </w:r>
      <w:r w:rsidRPr="002C4751">
        <w:rPr>
          <w:rFonts w:ascii="Times New Roman" w:hAnsi="Times New Roman" w:eastAsia="Times New Roman" w:cs="Times New Roman"/>
          <w:kern w:val="0"/>
          <w14:ligatures w14:val="none"/>
        </w:rPr>
        <w:t xml:space="preserve"> Assess a client’s reputation, financial stability, and history of disputes.</w:t>
      </w:r>
    </w:p>
    <w:p w:rsidRPr="002C4751" w:rsidR="002C4751" w:rsidP="002C4751" w:rsidRDefault="002C4751" w14:paraId="0E133E37" w14:textId="77777777">
      <w:pPr>
        <w:numPr>
          <w:ilvl w:val="0"/>
          <w:numId w:val="5"/>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Alignment with Strategic Goals:</w:t>
      </w:r>
      <w:r w:rsidRPr="002C4751">
        <w:rPr>
          <w:rFonts w:ascii="Times New Roman" w:hAnsi="Times New Roman" w:eastAsia="Times New Roman" w:cs="Times New Roman"/>
          <w:kern w:val="0"/>
          <w14:ligatures w14:val="none"/>
        </w:rPr>
        <w:t xml:space="preserve"> Ensure the project fits within the firm’s long-term business strategy and core competencies.</w:t>
      </w:r>
    </w:p>
    <w:p w:rsidRPr="002C4751" w:rsidR="002C4751" w:rsidP="002C4751" w:rsidRDefault="002C4751" w14:paraId="13468F10" w14:textId="77777777">
      <w:pPr>
        <w:numPr>
          <w:ilvl w:val="0"/>
          <w:numId w:val="5"/>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Legal and Regulatory Considerations:</w:t>
      </w:r>
      <w:r w:rsidRPr="002C4751">
        <w:rPr>
          <w:rFonts w:ascii="Times New Roman" w:hAnsi="Times New Roman" w:eastAsia="Times New Roman" w:cs="Times New Roman"/>
          <w:kern w:val="0"/>
          <w14:ligatures w14:val="none"/>
        </w:rPr>
        <w:t xml:space="preserve"> Review jurisdictional regulations, permitting requirements, and potential legal risks before accepting a project.</w:t>
      </w:r>
    </w:p>
    <w:p w:rsidRPr="003C6B26" w:rsidR="002C4751" w:rsidP="002C4751" w:rsidRDefault="002C4751" w14:paraId="4E3C29E6" w14:textId="77777777">
      <w:pPr>
        <w:pStyle w:val="NormalWeb"/>
      </w:pPr>
      <w:r w:rsidRPr="002C4751">
        <w:t xml:space="preserve">A strong Go/No-Go process helps firms avoid unnecessary exposure while focusing </w:t>
      </w:r>
      <w:r w:rsidRPr="003C6B26">
        <w:t>on profitable, strategically valuable projects.</w:t>
      </w:r>
    </w:p>
    <w:p w:rsidRPr="002C4751" w:rsidR="002C4751" w:rsidP="002C4751" w:rsidRDefault="002C4751" w14:paraId="75203438"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Contract Review: Strengthening Your Firm’s Defenses</w:t>
      </w:r>
    </w:p>
    <w:p w:rsidRPr="002C4751" w:rsidR="002C4751" w:rsidP="002C4751" w:rsidRDefault="002C4751" w14:paraId="6F80361C" w14:textId="070479B5">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 xml:space="preserve">A poorly structured contract is </w:t>
      </w:r>
      <w:r w:rsidRPr="003C6B26">
        <w:rPr>
          <w:rFonts w:ascii="Times New Roman" w:hAnsi="Times New Roman" w:eastAsia="Times New Roman" w:cs="Times New Roman"/>
          <w:kern w:val="0"/>
          <w14:ligatures w14:val="none"/>
        </w:rPr>
        <w:t>a</w:t>
      </w:r>
      <w:r w:rsidRPr="002C4751">
        <w:rPr>
          <w:rFonts w:ascii="Times New Roman" w:hAnsi="Times New Roman" w:eastAsia="Times New Roman" w:cs="Times New Roman"/>
          <w:kern w:val="0"/>
          <w14:ligatures w14:val="none"/>
        </w:rPr>
        <w:t xml:space="preserve"> leading source of disputes and liability exposure. Implementing a thorough contract review process helps firms identify and eliminate risks early on.</w:t>
      </w:r>
    </w:p>
    <w:p w:rsidRPr="002C4751" w:rsidR="002C4751" w:rsidP="002C4751" w:rsidRDefault="002C4751" w14:paraId="24A8D46C"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Firms can access free contract guidance through professional liability carriers, industry associations, and legal blogs specializing in A/E contracts. To improve your contract review process, consider:</w:t>
      </w:r>
    </w:p>
    <w:p w:rsidRPr="002C4751" w:rsidR="002C4751" w:rsidP="002C4751" w:rsidRDefault="002C4751" w14:paraId="7BE9FDA3" w14:textId="6BB3255D">
      <w:pPr>
        <w:numPr>
          <w:ilvl w:val="0"/>
          <w:numId w:val="6"/>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Contract</w:t>
      </w:r>
      <w:r w:rsidRPr="003C6B26">
        <w:rPr>
          <w:rFonts w:ascii="Times New Roman" w:hAnsi="Times New Roman" w:eastAsia="Times New Roman" w:cs="Times New Roman"/>
          <w:b/>
          <w:bCs/>
          <w:kern w:val="0"/>
          <w14:ligatures w14:val="none"/>
        </w:rPr>
        <w:t xml:space="preserve"> Review</w:t>
      </w:r>
      <w:r w:rsidRPr="002C4751">
        <w:rPr>
          <w:rFonts w:ascii="Times New Roman" w:hAnsi="Times New Roman" w:eastAsia="Times New Roman" w:cs="Times New Roman"/>
          <w:b/>
          <w:bCs/>
          <w:kern w:val="0"/>
          <w14:ligatures w14:val="none"/>
        </w:rPr>
        <w:t xml:space="preserve"> </w:t>
      </w:r>
      <w:r w:rsidRPr="003C6B26" w:rsidR="003C6B26">
        <w:rPr>
          <w:rFonts w:ascii="Times New Roman" w:hAnsi="Times New Roman" w:eastAsia="Times New Roman" w:cs="Times New Roman"/>
          <w:b/>
          <w:bCs/>
          <w:kern w:val="0"/>
          <w14:ligatures w14:val="none"/>
        </w:rPr>
        <w:t>Checklist:</w:t>
      </w:r>
      <w:r w:rsidRPr="003C6B26" w:rsidR="003C6B26">
        <w:rPr>
          <w:rFonts w:ascii="Times New Roman" w:hAnsi="Times New Roman" w:cs="Times New Roman"/>
        </w:rPr>
        <w:t xml:space="preserve"> </w:t>
      </w:r>
      <w:r w:rsidRPr="003C6B26" w:rsidR="003C6B26">
        <w:rPr>
          <w:rFonts w:ascii="Times New Roman" w:hAnsi="Times New Roman" w:eastAsia="Times New Roman" w:cs="Times New Roman"/>
          <w:kern w:val="0"/>
          <w14:ligatures w14:val="none"/>
        </w:rPr>
        <w:t>Ensure</w:t>
      </w:r>
      <w:r w:rsidRPr="003C6B26" w:rsidR="003C6B26">
        <w:rPr>
          <w:rFonts w:ascii="Times New Roman" w:hAnsi="Times New Roman" w:eastAsia="Times New Roman" w:cs="Times New Roman"/>
          <w:kern w:val="0"/>
          <w14:ligatures w14:val="none"/>
        </w:rPr>
        <w:t xml:space="preserve"> consistency in evaluating key risk factors</w:t>
      </w:r>
    </w:p>
    <w:p w:rsidRPr="002C4751" w:rsidR="002C4751" w:rsidP="002C4751" w:rsidRDefault="002C4751" w14:paraId="5AB43E37" w14:textId="77777777">
      <w:pPr>
        <w:numPr>
          <w:ilvl w:val="0"/>
          <w:numId w:val="6"/>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Scope Clarity and Limitations:</w:t>
      </w:r>
      <w:r w:rsidRPr="002C4751">
        <w:rPr>
          <w:rFonts w:ascii="Times New Roman" w:hAnsi="Times New Roman" w:eastAsia="Times New Roman" w:cs="Times New Roman"/>
          <w:kern w:val="0"/>
          <w14:ligatures w14:val="none"/>
        </w:rPr>
        <w:t xml:space="preserve"> Clearly define project scope, responsibilities, and exclusions to prevent misunderstandings.</w:t>
      </w:r>
    </w:p>
    <w:p w:rsidRPr="002C4751" w:rsidR="002C4751" w:rsidP="002C4751" w:rsidRDefault="002C4751" w14:paraId="4FC3A251" w14:textId="7AB891A3">
      <w:pPr>
        <w:numPr>
          <w:ilvl w:val="0"/>
          <w:numId w:val="6"/>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Indemnification and Liability Protections:</w:t>
      </w:r>
      <w:r w:rsidRPr="002C4751">
        <w:rPr>
          <w:rFonts w:ascii="Times New Roman" w:hAnsi="Times New Roman" w:eastAsia="Times New Roman" w:cs="Times New Roman"/>
          <w:kern w:val="0"/>
          <w14:ligatures w14:val="none"/>
        </w:rPr>
        <w:t xml:space="preserve"> Ensure contracts protect your firm from unnecessary legal claims</w:t>
      </w:r>
      <w:r w:rsidRPr="003C6B26" w:rsidR="003C6B26">
        <w:rPr>
          <w:rFonts w:ascii="Times New Roman" w:hAnsi="Times New Roman" w:eastAsia="Times New Roman" w:cs="Times New Roman"/>
          <w:kern w:val="0"/>
          <w14:ligatures w14:val="none"/>
        </w:rPr>
        <w:t xml:space="preserve"> and costs</w:t>
      </w:r>
      <w:r w:rsidRPr="002C4751">
        <w:rPr>
          <w:rFonts w:ascii="Times New Roman" w:hAnsi="Times New Roman" w:eastAsia="Times New Roman" w:cs="Times New Roman"/>
          <w:kern w:val="0"/>
          <w14:ligatures w14:val="none"/>
        </w:rPr>
        <w:t>.</w:t>
      </w:r>
    </w:p>
    <w:p w:rsidRPr="002C4751" w:rsidR="002C4751" w:rsidP="002C4751" w:rsidRDefault="002C4751" w14:paraId="1F36CB34" w14:textId="77777777">
      <w:pPr>
        <w:numPr>
          <w:ilvl w:val="0"/>
          <w:numId w:val="6"/>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Payment Terms and Fee Structures:</w:t>
      </w:r>
      <w:r w:rsidRPr="002C4751">
        <w:rPr>
          <w:rFonts w:ascii="Times New Roman" w:hAnsi="Times New Roman" w:eastAsia="Times New Roman" w:cs="Times New Roman"/>
          <w:kern w:val="0"/>
          <w14:ligatures w14:val="none"/>
        </w:rPr>
        <w:t xml:space="preserve"> Establish clear payment schedules to reduce financial disputes.</w:t>
      </w:r>
    </w:p>
    <w:p w:rsidRPr="002C4751" w:rsidR="002C4751" w:rsidP="002C4751" w:rsidRDefault="002C4751" w14:paraId="141E5233" w14:textId="5D3E4062">
      <w:pPr>
        <w:numPr>
          <w:ilvl w:val="0"/>
          <w:numId w:val="6"/>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Dispute Resolution Clauses:</w:t>
      </w:r>
      <w:r w:rsidRPr="002C4751">
        <w:rPr>
          <w:rFonts w:ascii="Times New Roman" w:hAnsi="Times New Roman" w:eastAsia="Times New Roman" w:cs="Times New Roman"/>
          <w:kern w:val="0"/>
          <w14:ligatures w14:val="none"/>
        </w:rPr>
        <w:t xml:space="preserve"> Incorporate mediation clause to mitigate litigation risk and encourage faster resolution.</w:t>
      </w:r>
    </w:p>
    <w:p w:rsidRPr="002C4751" w:rsidR="002C4751" w:rsidP="002C4751" w:rsidRDefault="002C4751" w14:paraId="6A442CDE"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Leveraging free contract review tools and industry best practices can significantly reduce exposure to claims and financial loss.</w:t>
      </w:r>
    </w:p>
    <w:p w:rsidRPr="002C4751" w:rsidR="002C4751" w:rsidP="002C4751" w:rsidRDefault="002C4751" w14:paraId="547A1F48"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Your Insurance Agent: A Strategic Risk Management Partner</w:t>
      </w:r>
    </w:p>
    <w:p w:rsidRPr="002C4751" w:rsidR="002C4751" w:rsidP="002C4751" w:rsidRDefault="002C4751" w14:paraId="6C0EF6CE"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Your insurance broker should be more than just a provider of coverage—they should be a trusted advisor who understands the unique risks of the A/E profession.</w:t>
      </w:r>
    </w:p>
    <w:p w:rsidRPr="002C4751" w:rsidR="002C4751" w:rsidP="002C4751" w:rsidRDefault="002C4751" w14:paraId="151F1B06"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Many brokers offer free risk management consultations, industry seminars, and access to contract review guidance. Firms should engage with their broker regularly to:</w:t>
      </w:r>
    </w:p>
    <w:p w:rsidRPr="002C4751" w:rsidR="002C4751" w:rsidP="002C4751" w:rsidRDefault="002C4751" w14:paraId="33E0C742" w14:textId="77777777">
      <w:pPr>
        <w:numPr>
          <w:ilvl w:val="0"/>
          <w:numId w:val="7"/>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lastRenderedPageBreak/>
        <w:t>Review policy coverage and exclusions to ensure adequate protection.</w:t>
      </w:r>
    </w:p>
    <w:p w:rsidRPr="002C4751" w:rsidR="002C4751" w:rsidP="002C4751" w:rsidRDefault="002C4751" w14:paraId="51490FA2" w14:textId="77777777">
      <w:pPr>
        <w:numPr>
          <w:ilvl w:val="0"/>
          <w:numId w:val="7"/>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Stay informed on emerging risks specific to design and construction professionals.</w:t>
      </w:r>
    </w:p>
    <w:p w:rsidRPr="002C4751" w:rsidR="002C4751" w:rsidP="002C4751" w:rsidRDefault="002C4751" w14:paraId="7AE99FD3" w14:textId="77777777">
      <w:pPr>
        <w:numPr>
          <w:ilvl w:val="0"/>
          <w:numId w:val="7"/>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Access free training materials and webinars tailored to risk management.</w:t>
      </w:r>
    </w:p>
    <w:p w:rsidRPr="002C4751" w:rsidR="002C4751" w:rsidP="002C4751" w:rsidRDefault="002C4751" w14:paraId="6FA56A05"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Professional Liability Insurance (PLI) Carrier Support</w:t>
      </w:r>
    </w:p>
    <w:p w:rsidRPr="002C4751" w:rsidR="002C4751" w:rsidP="002C4751" w:rsidRDefault="002C4751" w14:paraId="37E13222"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A strong PLI provider offers more than just coverage—they provide valuable risk management resources at no additional cost. Most PLI carriers publish best-practice guides, contract review tips, and risk assessment tools that firms can integrate into their workflows.</w:t>
      </w:r>
    </w:p>
    <w:p w:rsidRPr="002C4751" w:rsidR="002C4751" w:rsidP="002C4751" w:rsidRDefault="002C4751" w14:paraId="554D26FB"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Building relationships with PLI underwriters and claims professionals allows firms to access expert advice on navigating risk exposure.</w:t>
      </w:r>
    </w:p>
    <w:p w:rsidRPr="002C4751" w:rsidR="002C4751" w:rsidP="002C4751" w:rsidRDefault="002C4751" w14:paraId="3BB92ED6"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Legal Counsel: An Essential Asset</w:t>
      </w:r>
    </w:p>
    <w:p w:rsidRPr="002C4751" w:rsidR="002C4751" w:rsidP="002C4751" w:rsidRDefault="002C4751" w14:paraId="4A46ACE5"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Having legal counsel specializing in A/E firm matters is invaluable. While hiring legal professionals comes at a cost, firms can take advantage of free legal insights from insurance carriers, industry associations, and construction law firms that publish regular guidance on risk management best practices.</w:t>
      </w:r>
    </w:p>
    <w:p w:rsidRPr="002C4751" w:rsidR="002C4751" w:rsidP="002C4751" w:rsidRDefault="002C4751" w14:paraId="1463AF47"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Staying Informed Through Free Industry Resources</w:t>
      </w:r>
    </w:p>
    <w:p w:rsidRPr="002C4751" w:rsidR="002C4751" w:rsidP="002C4751" w:rsidRDefault="002C4751" w14:paraId="3B05EAEF"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Continuous education is essential in effective risk management. Firms should subscribe to free industry newsletters, follow professional liability carriers on LinkedIn, and utilize free risk management reports from reputable sources.</w:t>
      </w:r>
    </w:p>
    <w:p w:rsidRPr="002C4751" w:rsidR="002C4751" w:rsidP="002C4751" w:rsidRDefault="002C4751" w14:paraId="6D12A684"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Some useful search phrases for accessing free resources include:</w:t>
      </w:r>
    </w:p>
    <w:p w:rsidRPr="002C4751" w:rsidR="002C4751" w:rsidP="002C4751" w:rsidRDefault="002C4751" w14:paraId="7F8B1208" w14:textId="77777777">
      <w:pPr>
        <w:numPr>
          <w:ilvl w:val="0"/>
          <w:numId w:val="8"/>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A/E professional liability insurance carriers</w:t>
      </w:r>
    </w:p>
    <w:p w:rsidRPr="002C4751" w:rsidR="002C4751" w:rsidP="002C4751" w:rsidRDefault="002C4751" w14:paraId="153FB552" w14:textId="77777777">
      <w:pPr>
        <w:numPr>
          <w:ilvl w:val="0"/>
          <w:numId w:val="8"/>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Architectural &amp; Engineering risk management trends</w:t>
      </w:r>
    </w:p>
    <w:p w:rsidRPr="002C4751" w:rsidR="002C4751" w:rsidP="002C4751" w:rsidRDefault="002C4751" w14:paraId="481BBA5E" w14:textId="77777777">
      <w:pPr>
        <w:numPr>
          <w:ilvl w:val="0"/>
          <w:numId w:val="8"/>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Construction law and litigation insights</w:t>
      </w:r>
    </w:p>
    <w:p w:rsidRPr="003C6B26" w:rsidR="002C4751" w:rsidP="002C4751" w:rsidRDefault="002C4751" w14:paraId="6AC98F19" w14:textId="77777777">
      <w:pPr>
        <w:numPr>
          <w:ilvl w:val="0"/>
          <w:numId w:val="8"/>
        </w:num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Design and construction legal specialists</w:t>
      </w:r>
    </w:p>
    <w:p w:rsidRPr="002C4751" w:rsidR="003C6B26" w:rsidP="003C6B26" w:rsidRDefault="003C6B26" w14:paraId="24221E4B"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t>Empowering Your Entire Team</w:t>
      </w:r>
    </w:p>
    <w:p w:rsidRPr="002C4751" w:rsidR="003C6B26" w:rsidP="003C6B26" w:rsidRDefault="003C6B26" w14:paraId="4BF0EED9"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Risk management isn’t limited to senior leadership—employees at all levels contribute to a firm’s risk exposure. Providing free industry training, internal workshops, and shared risk prevention guidelines ensures that every employee understands their role in safeguarding the firm.</w:t>
      </w:r>
    </w:p>
    <w:p w:rsidRPr="002C4751" w:rsidR="003C6B26" w:rsidP="003C6B26" w:rsidRDefault="003C6B26" w14:paraId="7507DF3C"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Look for free webinars, educational materials, and industry white papers from professional organizations and insurance carriers to strengthen your firm’s knowledge base.</w:t>
      </w:r>
    </w:p>
    <w:p w:rsidRPr="003C6B26" w:rsidR="003C6B26" w:rsidP="002C4751" w:rsidRDefault="003C6B26" w14:paraId="4619D694" w14:textId="77777777">
      <w:pPr>
        <w:spacing w:before="100" w:beforeAutospacing="1" w:after="100" w:afterAutospacing="1" w:line="240" w:lineRule="auto"/>
        <w:rPr>
          <w:rFonts w:ascii="Times New Roman" w:hAnsi="Times New Roman" w:eastAsia="Times New Roman" w:cs="Times New Roman"/>
          <w:b/>
          <w:bCs/>
          <w:kern w:val="0"/>
          <w14:ligatures w14:val="none"/>
        </w:rPr>
      </w:pPr>
    </w:p>
    <w:p w:rsidRPr="003C6B26" w:rsidR="003C6B26" w:rsidP="002C4751" w:rsidRDefault="003C6B26" w14:paraId="72A72C09" w14:textId="77777777">
      <w:pPr>
        <w:spacing w:before="100" w:beforeAutospacing="1" w:after="100" w:afterAutospacing="1" w:line="240" w:lineRule="auto"/>
        <w:rPr>
          <w:rFonts w:ascii="Times New Roman" w:hAnsi="Times New Roman" w:eastAsia="Times New Roman" w:cs="Times New Roman"/>
          <w:b/>
          <w:bCs/>
          <w:kern w:val="0"/>
          <w14:ligatures w14:val="none"/>
        </w:rPr>
      </w:pPr>
    </w:p>
    <w:p w:rsidRPr="002C4751" w:rsidR="002C4751" w:rsidP="002C4751" w:rsidRDefault="002C4751" w14:paraId="5183A1F3" w14:textId="6849CF6B">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b/>
          <w:bCs/>
          <w:kern w:val="0"/>
          <w14:ligatures w14:val="none"/>
        </w:rPr>
        <w:lastRenderedPageBreak/>
        <w:t>Final Thoughts: Strengthen Your Risk Management Strategy Today</w:t>
      </w:r>
    </w:p>
    <w:p w:rsidRPr="002C4751" w:rsidR="002C4751" w:rsidP="002C4751" w:rsidRDefault="002C4751" w14:paraId="41E8C876"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Building a comprehensive risk management framework doesn’t require excessive spending—many free resources can help firms establish proactive strategies. By implementing QA/QC practices, conducting thorough project evaluations, strengthening contract reviews, leveraging industry knowledge, and engaging with insurance and legal advisors, firms can significantly reduce their exposure to risks while ensuring long-term stability.</w:t>
      </w:r>
    </w:p>
    <w:p w:rsidRPr="002C4751" w:rsidR="002C4751" w:rsidP="002C4751" w:rsidRDefault="002C4751" w14:paraId="1A5F20E6" w14:textId="77777777">
      <w:pPr>
        <w:spacing w:before="100" w:beforeAutospacing="1" w:after="100" w:afterAutospacing="1" w:line="240" w:lineRule="auto"/>
        <w:rPr>
          <w:rFonts w:ascii="Times New Roman" w:hAnsi="Times New Roman" w:eastAsia="Times New Roman" w:cs="Times New Roman"/>
          <w:kern w:val="0"/>
          <w14:ligatures w14:val="none"/>
        </w:rPr>
      </w:pPr>
      <w:r w:rsidRPr="002C4751">
        <w:rPr>
          <w:rFonts w:ascii="Times New Roman" w:hAnsi="Times New Roman" w:eastAsia="Times New Roman" w:cs="Times New Roman"/>
          <w:kern w:val="0"/>
          <w14:ligatures w14:val="none"/>
        </w:rPr>
        <w:t>Act now to enhance your firm’s risk management practices using these free and readily available tools.</w:t>
      </w:r>
    </w:p>
    <w:p w:rsidRPr="002C4751" w:rsidR="002C4751" w:rsidP="002C4751" w:rsidRDefault="002C4751" w14:paraId="14EB0C71" w14:textId="655C7517">
      <w:pPr>
        <w:spacing w:before="100" w:beforeAutospacing="1" w:after="100" w:afterAutospacing="1" w:line="240" w:lineRule="auto"/>
        <w:rPr>
          <w:rFonts w:ascii="Times New Roman" w:hAnsi="Times New Roman" w:eastAsia="Times New Roman" w:cs="Times New Roman"/>
          <w:kern w:val="0"/>
          <w14:ligatures w14:val="none"/>
        </w:rPr>
      </w:pPr>
    </w:p>
    <w:p w:rsidRPr="003C6B26" w:rsidR="002C4751" w:rsidP="002C4751" w:rsidRDefault="002C4751" w14:paraId="659902F7" w14:textId="1849044C">
      <w:pPr>
        <w:pStyle w:val="NormalWeb"/>
      </w:pPr>
    </w:p>
    <w:p w:rsidRPr="002C4751" w:rsidR="00A668BD" w:rsidP="002C4751" w:rsidRDefault="00A668BD" w14:paraId="5A2E9B4A" w14:textId="77777777"/>
    <w:sectPr w:rsidRPr="002C4751" w:rsidR="00A668BD">
      <w:pgSz w:w="12240" w:h="15840" w:orient="portrait"/>
      <w:pgMar w:top="1440" w:right="1440" w:bottom="1440" w:left="1440" w:header="720" w:footer="720" w:gutter="0"/>
      <w:cols w:space="720"/>
      <w:docGrid w:linePitch="360"/>
      <w:headerReference w:type="default" r:id="R7400139272b94b73"/>
      <w:footerReference w:type="default" r:id="R35ffc62c8f1446f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544C109" w:rsidTr="5544C109" w14:paraId="0509E6DA">
      <w:trPr>
        <w:trHeight w:val="300"/>
      </w:trPr>
      <w:tc>
        <w:tcPr>
          <w:tcW w:w="3120" w:type="dxa"/>
          <w:tcMar/>
        </w:tcPr>
        <w:p w:rsidR="5544C109" w:rsidP="5544C109" w:rsidRDefault="5544C109" w14:paraId="47781774" w14:textId="1F8D3BBC">
          <w:pPr>
            <w:pStyle w:val="Header"/>
            <w:bidi w:val="0"/>
            <w:ind w:left="-115"/>
            <w:jc w:val="left"/>
          </w:pPr>
        </w:p>
      </w:tc>
      <w:tc>
        <w:tcPr>
          <w:tcW w:w="3120" w:type="dxa"/>
          <w:tcMar/>
        </w:tcPr>
        <w:p w:rsidR="5544C109" w:rsidP="5544C109" w:rsidRDefault="5544C109" w14:paraId="30679313" w14:textId="117E700F">
          <w:pPr>
            <w:pStyle w:val="Header"/>
            <w:bidi w:val="0"/>
            <w:jc w:val="center"/>
          </w:pPr>
        </w:p>
      </w:tc>
      <w:tc>
        <w:tcPr>
          <w:tcW w:w="3120" w:type="dxa"/>
          <w:tcMar/>
        </w:tcPr>
        <w:p w:rsidR="5544C109" w:rsidP="5544C109" w:rsidRDefault="5544C109" w14:paraId="3C24039A" w14:textId="1B19C78D">
          <w:pPr>
            <w:pStyle w:val="Header"/>
            <w:bidi w:val="0"/>
            <w:ind w:right="-115"/>
            <w:jc w:val="right"/>
          </w:pPr>
        </w:p>
      </w:tc>
    </w:tr>
  </w:tbl>
  <w:p w:rsidR="5544C109" w:rsidP="5544C109" w:rsidRDefault="5544C109" w14:paraId="52E605A2" w14:textId="4ED2F60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70"/>
      <w:gridCol w:w="345"/>
    </w:tblGrid>
    <w:tr w:rsidR="5544C109" w:rsidTr="5544C109" w14:paraId="64297C54">
      <w:trPr>
        <w:trHeight w:val="300"/>
      </w:trPr>
      <w:tc>
        <w:tcPr>
          <w:tcW w:w="345" w:type="dxa"/>
          <w:tcMar/>
        </w:tcPr>
        <w:p w:rsidR="5544C109" w:rsidP="5544C109" w:rsidRDefault="5544C109" w14:paraId="6EDFBF5E" w14:textId="7A1187E1">
          <w:pPr>
            <w:pStyle w:val="Header"/>
            <w:bidi w:val="0"/>
            <w:ind w:left="-115"/>
            <w:jc w:val="left"/>
          </w:pPr>
        </w:p>
      </w:tc>
      <w:tc>
        <w:tcPr>
          <w:tcW w:w="8670" w:type="dxa"/>
          <w:tcMar/>
        </w:tcPr>
        <w:p w:rsidR="5544C109" w:rsidP="5544C109" w:rsidRDefault="5544C109" w14:paraId="67EC1003" w14:textId="03A6240B">
          <w:pPr>
            <w:bidi w:val="0"/>
            <w:jc w:val="center"/>
          </w:pPr>
          <w:r>
            <w:br/>
          </w:r>
          <w:r w:rsidR="5544C109">
            <w:drawing>
              <wp:inline wp14:editId="22678218" wp14:anchorId="5A3C10C8">
                <wp:extent cx="2879979" cy="761031"/>
                <wp:effectExtent l="0" t="0" r="0" b="0"/>
                <wp:docPr id="735943982" name="" descr="A black and white sign with a red line&#10;&#10;Description automatically generated, Picture" title=""/>
                <wp:cNvGraphicFramePr>
                  <a:graphicFrameLocks noChangeAspect="1"/>
                </wp:cNvGraphicFramePr>
                <a:graphic>
                  <a:graphicData uri="http://schemas.openxmlformats.org/drawingml/2006/picture">
                    <pic:pic>
                      <pic:nvPicPr>
                        <pic:cNvPr id="0" name=""/>
                        <pic:cNvPicPr/>
                      </pic:nvPicPr>
                      <pic:blipFill>
                        <a:blip r:embed="R5b16484a420b44cc">
                          <a:extLst>
                            <a:ext xmlns:a="http://schemas.openxmlformats.org/drawingml/2006/main" uri="{28A0092B-C50C-407E-A947-70E740481C1C}">
                              <a14:useLocalDpi val="0"/>
                            </a:ext>
                          </a:extLst>
                        </a:blip>
                        <a:stretch>
                          <a:fillRect/>
                        </a:stretch>
                      </pic:blipFill>
                      <pic:spPr>
                        <a:xfrm>
                          <a:off x="0" y="0"/>
                          <a:ext cx="2879979" cy="761031"/>
                        </a:xfrm>
                        <a:prstGeom prst="rect">
                          <a:avLst/>
                        </a:prstGeom>
                      </pic:spPr>
                    </pic:pic>
                  </a:graphicData>
                </a:graphic>
              </wp:inline>
            </w:drawing>
          </w:r>
        </w:p>
      </w:tc>
      <w:tc>
        <w:tcPr>
          <w:tcW w:w="345" w:type="dxa"/>
          <w:tcMar/>
        </w:tcPr>
        <w:p w:rsidR="5544C109" w:rsidP="5544C109" w:rsidRDefault="5544C109" w14:paraId="4A88D611" w14:textId="1AC1F861">
          <w:pPr>
            <w:pStyle w:val="Header"/>
            <w:bidi w:val="0"/>
            <w:ind w:right="-115"/>
            <w:jc w:val="right"/>
          </w:pPr>
        </w:p>
      </w:tc>
    </w:tr>
  </w:tbl>
  <w:p w:rsidR="5544C109" w:rsidP="5544C109" w:rsidRDefault="5544C109" w14:paraId="3167DFD9" w14:textId="11F275D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8B4"/>
    <w:multiLevelType w:val="multilevel"/>
    <w:tmpl w:val="D83CF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13A7D"/>
    <w:multiLevelType w:val="multilevel"/>
    <w:tmpl w:val="1E700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39C3C1D"/>
    <w:multiLevelType w:val="multilevel"/>
    <w:tmpl w:val="E800E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7EB6172"/>
    <w:multiLevelType w:val="multilevel"/>
    <w:tmpl w:val="497C9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9D90805"/>
    <w:multiLevelType w:val="multilevel"/>
    <w:tmpl w:val="B3C64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13257D1"/>
    <w:multiLevelType w:val="multilevel"/>
    <w:tmpl w:val="83061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31777FF"/>
    <w:multiLevelType w:val="multilevel"/>
    <w:tmpl w:val="93C43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F78759F"/>
    <w:multiLevelType w:val="multilevel"/>
    <w:tmpl w:val="31340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37469518">
    <w:abstractNumId w:val="3"/>
  </w:num>
  <w:num w:numId="2" w16cid:durableId="141393723">
    <w:abstractNumId w:val="0"/>
  </w:num>
  <w:num w:numId="3" w16cid:durableId="312149108">
    <w:abstractNumId w:val="2"/>
  </w:num>
  <w:num w:numId="4" w16cid:durableId="184944162">
    <w:abstractNumId w:val="1"/>
  </w:num>
  <w:num w:numId="5" w16cid:durableId="1999845235">
    <w:abstractNumId w:val="6"/>
  </w:num>
  <w:num w:numId="6" w16cid:durableId="900217543">
    <w:abstractNumId w:val="5"/>
  </w:num>
  <w:num w:numId="7" w16cid:durableId="875433436">
    <w:abstractNumId w:val="7"/>
  </w:num>
  <w:num w:numId="8" w16cid:durableId="1918712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C0"/>
    <w:rsid w:val="002C4751"/>
    <w:rsid w:val="003C248E"/>
    <w:rsid w:val="003C6B26"/>
    <w:rsid w:val="003F19C0"/>
    <w:rsid w:val="008B7269"/>
    <w:rsid w:val="00A668BD"/>
    <w:rsid w:val="00AB3CF1"/>
    <w:rsid w:val="457261AA"/>
    <w:rsid w:val="5544C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1B04"/>
  <w15:chartTrackingRefBased/>
  <w15:docId w15:val="{0527A5D1-AEB1-44E4-860A-19EC33AA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19C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9C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9C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F19C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F19C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F19C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F19C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F19C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F19C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F19C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F19C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F19C0"/>
    <w:rPr>
      <w:rFonts w:eastAsiaTheme="majorEastAsia" w:cstheme="majorBidi"/>
      <w:color w:val="272727" w:themeColor="text1" w:themeTint="D8"/>
    </w:rPr>
  </w:style>
  <w:style w:type="paragraph" w:styleId="Title">
    <w:name w:val="Title"/>
    <w:basedOn w:val="Normal"/>
    <w:next w:val="Normal"/>
    <w:link w:val="TitleChar"/>
    <w:uiPriority w:val="10"/>
    <w:qFormat/>
    <w:rsid w:val="003F19C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F19C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F19C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F1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9C0"/>
    <w:pPr>
      <w:spacing w:before="160"/>
      <w:jc w:val="center"/>
    </w:pPr>
    <w:rPr>
      <w:i/>
      <w:iCs/>
      <w:color w:val="404040" w:themeColor="text1" w:themeTint="BF"/>
    </w:rPr>
  </w:style>
  <w:style w:type="character" w:styleId="QuoteChar" w:customStyle="1">
    <w:name w:val="Quote Char"/>
    <w:basedOn w:val="DefaultParagraphFont"/>
    <w:link w:val="Quote"/>
    <w:uiPriority w:val="29"/>
    <w:rsid w:val="003F19C0"/>
    <w:rPr>
      <w:i/>
      <w:iCs/>
      <w:color w:val="404040" w:themeColor="text1" w:themeTint="BF"/>
    </w:rPr>
  </w:style>
  <w:style w:type="paragraph" w:styleId="ListParagraph">
    <w:name w:val="List Paragraph"/>
    <w:basedOn w:val="Normal"/>
    <w:uiPriority w:val="34"/>
    <w:qFormat/>
    <w:rsid w:val="003F19C0"/>
    <w:pPr>
      <w:ind w:left="720"/>
      <w:contextualSpacing/>
    </w:pPr>
  </w:style>
  <w:style w:type="character" w:styleId="IntenseEmphasis">
    <w:name w:val="Intense Emphasis"/>
    <w:basedOn w:val="DefaultParagraphFont"/>
    <w:uiPriority w:val="21"/>
    <w:qFormat/>
    <w:rsid w:val="003F19C0"/>
    <w:rPr>
      <w:i/>
      <w:iCs/>
      <w:color w:val="0F4761" w:themeColor="accent1" w:themeShade="BF"/>
    </w:rPr>
  </w:style>
  <w:style w:type="paragraph" w:styleId="IntenseQuote">
    <w:name w:val="Intense Quote"/>
    <w:basedOn w:val="Normal"/>
    <w:next w:val="Normal"/>
    <w:link w:val="IntenseQuoteChar"/>
    <w:uiPriority w:val="30"/>
    <w:qFormat/>
    <w:rsid w:val="003F19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F19C0"/>
    <w:rPr>
      <w:i/>
      <w:iCs/>
      <w:color w:val="0F4761" w:themeColor="accent1" w:themeShade="BF"/>
    </w:rPr>
  </w:style>
  <w:style w:type="character" w:styleId="IntenseReference">
    <w:name w:val="Intense Reference"/>
    <w:basedOn w:val="DefaultParagraphFont"/>
    <w:uiPriority w:val="32"/>
    <w:qFormat/>
    <w:rsid w:val="003F19C0"/>
    <w:rPr>
      <w:b/>
      <w:bCs/>
      <w:smallCaps/>
      <w:color w:val="0F4761" w:themeColor="accent1" w:themeShade="BF"/>
      <w:spacing w:val="5"/>
    </w:rPr>
  </w:style>
  <w:style w:type="character" w:styleId="Strong">
    <w:name w:val="Strong"/>
    <w:basedOn w:val="DefaultParagraphFont"/>
    <w:uiPriority w:val="22"/>
    <w:qFormat/>
    <w:rsid w:val="002C4751"/>
    <w:rPr>
      <w:b/>
      <w:bCs/>
    </w:rPr>
  </w:style>
  <w:style w:type="paragraph" w:styleId="NormalWeb">
    <w:name w:val="Normal (Web)"/>
    <w:basedOn w:val="Normal"/>
    <w:uiPriority w:val="99"/>
    <w:semiHidden/>
    <w:unhideWhenUsed/>
    <w:rsid w:val="002C4751"/>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Header">
    <w:uiPriority w:val="99"/>
    <w:name w:val="header"/>
    <w:basedOn w:val="Normal"/>
    <w:unhideWhenUsed/>
    <w:rsid w:val="5544C109"/>
    <w:pPr>
      <w:tabs>
        <w:tab w:val="center" w:leader="none" w:pos="4680"/>
        <w:tab w:val="right" w:leader="none" w:pos="9360"/>
      </w:tabs>
      <w:spacing w:after="0" w:line="240" w:lineRule="auto"/>
    </w:pPr>
  </w:style>
  <w:style w:type="paragraph" w:styleId="Footer">
    <w:uiPriority w:val="99"/>
    <w:name w:val="footer"/>
    <w:basedOn w:val="Normal"/>
    <w:unhideWhenUsed/>
    <w:rsid w:val="5544C10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6721">
      <w:bodyDiv w:val="1"/>
      <w:marLeft w:val="0"/>
      <w:marRight w:val="0"/>
      <w:marTop w:val="0"/>
      <w:marBottom w:val="0"/>
      <w:divBdr>
        <w:top w:val="none" w:sz="0" w:space="0" w:color="auto"/>
        <w:left w:val="none" w:sz="0" w:space="0" w:color="auto"/>
        <w:bottom w:val="none" w:sz="0" w:space="0" w:color="auto"/>
        <w:right w:val="none" w:sz="0" w:space="0" w:color="auto"/>
      </w:divBdr>
    </w:div>
    <w:div w:id="870991522">
      <w:bodyDiv w:val="1"/>
      <w:marLeft w:val="0"/>
      <w:marRight w:val="0"/>
      <w:marTop w:val="0"/>
      <w:marBottom w:val="0"/>
      <w:divBdr>
        <w:top w:val="none" w:sz="0" w:space="0" w:color="auto"/>
        <w:left w:val="none" w:sz="0" w:space="0" w:color="auto"/>
        <w:bottom w:val="none" w:sz="0" w:space="0" w:color="auto"/>
        <w:right w:val="none" w:sz="0" w:space="0" w:color="auto"/>
      </w:divBdr>
    </w:div>
    <w:div w:id="1434015925">
      <w:bodyDiv w:val="1"/>
      <w:marLeft w:val="0"/>
      <w:marRight w:val="0"/>
      <w:marTop w:val="0"/>
      <w:marBottom w:val="0"/>
      <w:divBdr>
        <w:top w:val="none" w:sz="0" w:space="0" w:color="auto"/>
        <w:left w:val="none" w:sz="0" w:space="0" w:color="auto"/>
        <w:bottom w:val="none" w:sz="0" w:space="0" w:color="auto"/>
        <w:right w:val="none" w:sz="0" w:space="0" w:color="auto"/>
      </w:divBdr>
    </w:div>
    <w:div w:id="1483808483">
      <w:bodyDiv w:val="1"/>
      <w:marLeft w:val="0"/>
      <w:marRight w:val="0"/>
      <w:marTop w:val="0"/>
      <w:marBottom w:val="0"/>
      <w:divBdr>
        <w:top w:val="none" w:sz="0" w:space="0" w:color="auto"/>
        <w:left w:val="none" w:sz="0" w:space="0" w:color="auto"/>
        <w:bottom w:val="none" w:sz="0" w:space="0" w:color="auto"/>
        <w:right w:val="none" w:sz="0" w:space="0" w:color="auto"/>
      </w:divBdr>
    </w:div>
    <w:div w:id="1614677902">
      <w:bodyDiv w:val="1"/>
      <w:marLeft w:val="0"/>
      <w:marRight w:val="0"/>
      <w:marTop w:val="0"/>
      <w:marBottom w:val="0"/>
      <w:divBdr>
        <w:top w:val="none" w:sz="0" w:space="0" w:color="auto"/>
        <w:left w:val="none" w:sz="0" w:space="0" w:color="auto"/>
        <w:bottom w:val="none" w:sz="0" w:space="0" w:color="auto"/>
        <w:right w:val="none" w:sz="0" w:space="0" w:color="auto"/>
      </w:divBdr>
    </w:div>
    <w:div w:id="185152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7400139272b94b73" /><Relationship Type="http://schemas.openxmlformats.org/officeDocument/2006/relationships/footer" Target="footer.xml" Id="R35ffc62c8f1446f1" /></Relationships>
</file>

<file path=word/_rels/header.xml.rels>&#65279;<?xml version="1.0" encoding="utf-8"?><Relationships xmlns="http://schemas.openxmlformats.org/package/2006/relationships"><Relationship Type="http://schemas.openxmlformats.org/officeDocument/2006/relationships/image" Target="/media/image.png" Id="R5b16484a420b44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CF91C768CC849A8A0840F737E536D" ma:contentTypeVersion="25" ma:contentTypeDescription="Create a new document." ma:contentTypeScope="" ma:versionID="581f08c35699d1e4b8af02b37507de0b">
  <xsd:schema xmlns:xsd="http://www.w3.org/2001/XMLSchema" xmlns:xs="http://www.w3.org/2001/XMLSchema" xmlns:p="http://schemas.microsoft.com/office/2006/metadata/properties" xmlns:ns2="d1b05284-cf3f-4576-99a2-aa8ec7cc0ff1" xmlns:ns3="3261a78c-d450-4c7a-9054-f88071cdb3eb" targetNamespace="http://schemas.microsoft.com/office/2006/metadata/properties" ma:root="true" ma:fieldsID="25939ee69992e5db503c647b3db05bc9" ns2:_="" ns3:_="">
    <xsd:import namespace="d1b05284-cf3f-4576-99a2-aa8ec7cc0ff1"/>
    <xsd:import namespace="3261a78c-d450-4c7a-9054-f88071cdb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9qi" minOccurs="0"/>
                <xsd:element ref="ns2:sw9x"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05284-cf3f-4576-99a2-aa8ec7cc0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9qi" ma:index="20" nillable="true" ma:displayName="Date and time" ma:internalName="c9qi">
      <xsd:simpleType>
        <xsd:restriction base="dms:DateTime"/>
      </xsd:simpleType>
    </xsd:element>
    <xsd:element name="sw9x" ma:index="21" nillable="true" ma:displayName="Number" ma:internalName="sw9x">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93ef8ae-da93-4c74-b72b-0e7cc08fc1a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1a78c-d450-4c7a-9054-f88071cdb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72d60f-c270-49f9-a675-34586b165ff6}" ma:internalName="TaxCatchAll" ma:showField="CatchAllData" ma:web="3261a78c-d450-4c7a-9054-f88071cd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05284-cf3f-4576-99a2-aa8ec7cc0ff1">
      <Terms xmlns="http://schemas.microsoft.com/office/infopath/2007/PartnerControls"/>
    </lcf76f155ced4ddcb4097134ff3c332f>
    <_Flow_SignoffStatus xmlns="d1b05284-cf3f-4576-99a2-aa8ec7cc0ff1" xsi:nil="true"/>
    <Link xmlns="d1b05284-cf3f-4576-99a2-aa8ec7cc0ff1">
      <Url xsi:nil="true"/>
      <Description xsi:nil="true"/>
    </Link>
    <TaxCatchAll xmlns="3261a78c-d450-4c7a-9054-f88071cdb3eb" xsi:nil="true"/>
    <c9qi xmlns="d1b05284-cf3f-4576-99a2-aa8ec7cc0ff1" xsi:nil="true"/>
    <sw9x xmlns="d1b05284-cf3f-4576-99a2-aa8ec7cc0ff1" xsi:nil="true"/>
  </documentManagement>
</p:properties>
</file>

<file path=customXml/itemProps1.xml><?xml version="1.0" encoding="utf-8"?>
<ds:datastoreItem xmlns:ds="http://schemas.openxmlformats.org/officeDocument/2006/customXml" ds:itemID="{44DA777F-3125-49E5-B4DF-8AAE1A6747DA}"/>
</file>

<file path=customXml/itemProps2.xml><?xml version="1.0" encoding="utf-8"?>
<ds:datastoreItem xmlns:ds="http://schemas.openxmlformats.org/officeDocument/2006/customXml" ds:itemID="{2EC64798-AA2B-449D-AB93-002138545FE5}"/>
</file>

<file path=customXml/itemProps3.xml><?xml version="1.0" encoding="utf-8"?>
<ds:datastoreItem xmlns:ds="http://schemas.openxmlformats.org/officeDocument/2006/customXml" ds:itemID="{F9A03DCB-B259-4C91-81E3-578CCCD20B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Arthur J. Gallagher &amp; 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Landon Fisher</dc:creator>
  <keywords/>
  <dc:description/>
  <lastModifiedBy>Haley Londrigan</lastModifiedBy>
  <revision>3</revision>
  <dcterms:created xsi:type="dcterms:W3CDTF">2025-05-28T13:38:00.0000000Z</dcterms:created>
  <dcterms:modified xsi:type="dcterms:W3CDTF">2025-05-28T16:55:08.4941774Z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0x010100C15CF91C768CC849A8A0840F737E536D</vt:lpwstr>
  </property>
  <property fmtid="{D5CDD505-2E9C-101B-9397-08002B2CF9AE}" pid="3" name="MediaServiceImageTags">
    <vt:lpwstr/>
  </property>
</Properties>
</file>