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F0B" w:rsidR="00717785" w:rsidP="005865B3" w:rsidRDefault="005865B3" w14:paraId="44EAA7B3" w14:textId="2852B82F">
      <w:pPr>
        <w:jc w:val="center"/>
        <w:rPr>
          <w:rFonts w:ascii="Times New Roman" w:hAnsi="Times New Roman" w:cs="Times New Roman"/>
          <w:u w:val="single"/>
        </w:rPr>
      </w:pPr>
      <w:r w:rsidRPr="00574F0B">
        <w:rPr>
          <w:rFonts w:ascii="Times New Roman" w:hAnsi="Times New Roman" w:cs="Times New Roman"/>
          <w:u w:val="single"/>
        </w:rPr>
        <w:t>Prevailing Party Clauses</w:t>
      </w:r>
      <w:r w:rsidRPr="00574F0B" w:rsidR="006808F0">
        <w:rPr>
          <w:rFonts w:ascii="Times New Roman" w:hAnsi="Times New Roman" w:cs="Times New Roman"/>
          <w:u w:val="single"/>
        </w:rPr>
        <w:t>:</w:t>
      </w:r>
      <w:r w:rsidRPr="00574F0B">
        <w:rPr>
          <w:rFonts w:ascii="Times New Roman" w:hAnsi="Times New Roman" w:cs="Times New Roman"/>
          <w:u w:val="single"/>
        </w:rPr>
        <w:t xml:space="preserve"> Why </w:t>
      </w:r>
      <w:r w:rsidRPr="00574F0B" w:rsidR="006808F0">
        <w:rPr>
          <w:rFonts w:ascii="Times New Roman" w:hAnsi="Times New Roman" w:cs="Times New Roman"/>
          <w:u w:val="single"/>
        </w:rPr>
        <w:t>They Are Dangerous</w:t>
      </w:r>
      <w:r w:rsidRPr="00574F0B" w:rsidR="00E56AA8">
        <w:rPr>
          <w:rFonts w:ascii="Times New Roman" w:hAnsi="Times New Roman" w:cs="Times New Roman"/>
          <w:u w:val="single"/>
        </w:rPr>
        <w:t xml:space="preserve"> And Should Not Be Ignored</w:t>
      </w:r>
    </w:p>
    <w:p w:rsidRPr="00574F0B" w:rsidR="00FF564C" w:rsidP="0007349A" w:rsidRDefault="0007349A" w14:paraId="00B6B6EA" w14:textId="04B9E713">
      <w:pPr>
        <w:rPr>
          <w:rFonts w:ascii="Times New Roman" w:hAnsi="Times New Roman" w:cs="Times New Roman"/>
        </w:rPr>
      </w:pPr>
      <w:r w:rsidRPr="00574F0B">
        <w:rPr>
          <w:rFonts w:ascii="Times New Roman" w:hAnsi="Times New Roman" w:cs="Times New Roman"/>
        </w:rPr>
        <w:t xml:space="preserve">It is not uncommon to find </w:t>
      </w:r>
      <w:r w:rsidRPr="00574F0B" w:rsidR="002B33C4">
        <w:rPr>
          <w:rFonts w:ascii="Times New Roman" w:hAnsi="Times New Roman" w:cs="Times New Roman"/>
        </w:rPr>
        <w:t>a clause in a client</w:t>
      </w:r>
      <w:r w:rsidRPr="00574F0B" w:rsidR="00D1076F">
        <w:rPr>
          <w:rFonts w:ascii="Times New Roman" w:hAnsi="Times New Roman" w:cs="Times New Roman"/>
        </w:rPr>
        <w:t>’</w:t>
      </w:r>
      <w:r w:rsidRPr="00574F0B" w:rsidR="002B33C4">
        <w:rPr>
          <w:rFonts w:ascii="Times New Roman" w:hAnsi="Times New Roman" w:cs="Times New Roman"/>
        </w:rPr>
        <w:t xml:space="preserve">s agreement </w:t>
      </w:r>
      <w:r w:rsidR="00770DD1">
        <w:rPr>
          <w:rFonts w:ascii="Times New Roman" w:hAnsi="Times New Roman" w:cs="Times New Roman"/>
        </w:rPr>
        <w:t xml:space="preserve">form </w:t>
      </w:r>
      <w:r w:rsidRPr="00574F0B" w:rsidR="002B33C4">
        <w:rPr>
          <w:rFonts w:ascii="Times New Roman" w:hAnsi="Times New Roman" w:cs="Times New Roman"/>
        </w:rPr>
        <w:t xml:space="preserve">that </w:t>
      </w:r>
      <w:r w:rsidR="00770DD1">
        <w:rPr>
          <w:rFonts w:ascii="Times New Roman" w:hAnsi="Times New Roman" w:cs="Times New Roman"/>
        </w:rPr>
        <w:t>relates to</w:t>
      </w:r>
      <w:r w:rsidRPr="00574F0B" w:rsidR="002B33C4">
        <w:rPr>
          <w:rFonts w:ascii="Times New Roman" w:hAnsi="Times New Roman" w:cs="Times New Roman"/>
        </w:rPr>
        <w:t xml:space="preserve"> responsi</w:t>
      </w:r>
      <w:r w:rsidRPr="00574F0B" w:rsidR="00D1076F">
        <w:rPr>
          <w:rFonts w:ascii="Times New Roman" w:hAnsi="Times New Roman" w:cs="Times New Roman"/>
        </w:rPr>
        <w:t>bili</w:t>
      </w:r>
      <w:r w:rsidRPr="00574F0B" w:rsidR="002B33C4">
        <w:rPr>
          <w:rFonts w:ascii="Times New Roman" w:hAnsi="Times New Roman" w:cs="Times New Roman"/>
        </w:rPr>
        <w:t>ty for attorneys</w:t>
      </w:r>
      <w:r w:rsidRPr="00574F0B" w:rsidR="00D1076F">
        <w:rPr>
          <w:rFonts w:ascii="Times New Roman" w:hAnsi="Times New Roman" w:cs="Times New Roman"/>
        </w:rPr>
        <w:t>’</w:t>
      </w:r>
      <w:r w:rsidRPr="00574F0B" w:rsidR="002B33C4">
        <w:rPr>
          <w:rFonts w:ascii="Times New Roman" w:hAnsi="Times New Roman" w:cs="Times New Roman"/>
        </w:rPr>
        <w:t xml:space="preserve"> </w:t>
      </w:r>
      <w:r w:rsidRPr="00574F0B" w:rsidR="00D1076F">
        <w:rPr>
          <w:rFonts w:ascii="Times New Roman" w:hAnsi="Times New Roman" w:cs="Times New Roman"/>
        </w:rPr>
        <w:t>fees</w:t>
      </w:r>
      <w:r w:rsidRPr="00574F0B" w:rsidR="009B1904">
        <w:rPr>
          <w:rFonts w:ascii="Times New Roman" w:hAnsi="Times New Roman" w:cs="Times New Roman"/>
        </w:rPr>
        <w:t xml:space="preserve"> </w:t>
      </w:r>
      <w:r w:rsidRPr="00574F0B" w:rsidR="00D514BC">
        <w:rPr>
          <w:rFonts w:ascii="Times New Roman" w:hAnsi="Times New Roman" w:cs="Times New Roman"/>
        </w:rPr>
        <w:t xml:space="preserve">and </w:t>
      </w:r>
      <w:r w:rsidRPr="00574F0B" w:rsidR="00B2019E">
        <w:rPr>
          <w:rFonts w:ascii="Times New Roman" w:hAnsi="Times New Roman" w:cs="Times New Roman"/>
        </w:rPr>
        <w:t xml:space="preserve">litigation </w:t>
      </w:r>
      <w:r w:rsidRPr="00574F0B" w:rsidR="00D1076F">
        <w:rPr>
          <w:rFonts w:ascii="Times New Roman" w:hAnsi="Times New Roman" w:cs="Times New Roman"/>
        </w:rPr>
        <w:t>expenses.  It</w:t>
      </w:r>
      <w:r w:rsidRPr="00574F0B" w:rsidR="00127BEB">
        <w:rPr>
          <w:rFonts w:ascii="Times New Roman" w:hAnsi="Times New Roman" w:cs="Times New Roman"/>
        </w:rPr>
        <w:t>’</w:t>
      </w:r>
      <w:r w:rsidRPr="00574F0B" w:rsidR="00D1076F">
        <w:rPr>
          <w:rFonts w:ascii="Times New Roman" w:hAnsi="Times New Roman" w:cs="Times New Roman"/>
        </w:rPr>
        <w:t xml:space="preserve">s common to </w:t>
      </w:r>
      <w:r w:rsidRPr="00574F0B" w:rsidR="00B37BDC">
        <w:rPr>
          <w:rFonts w:ascii="Times New Roman" w:hAnsi="Times New Roman" w:cs="Times New Roman"/>
        </w:rPr>
        <w:t>see</w:t>
      </w:r>
      <w:r w:rsidRPr="00574F0B" w:rsidR="00D1076F">
        <w:rPr>
          <w:rFonts w:ascii="Times New Roman" w:hAnsi="Times New Roman" w:cs="Times New Roman"/>
        </w:rPr>
        <w:t xml:space="preserve"> this towards the end of a </w:t>
      </w:r>
      <w:r w:rsidRPr="00574F0B" w:rsidR="00B37BDC">
        <w:rPr>
          <w:rFonts w:ascii="Times New Roman" w:hAnsi="Times New Roman" w:cs="Times New Roman"/>
        </w:rPr>
        <w:t>contrac</w:t>
      </w:r>
      <w:r w:rsidRPr="00574F0B" w:rsidR="00D1076F">
        <w:rPr>
          <w:rFonts w:ascii="Times New Roman" w:hAnsi="Times New Roman" w:cs="Times New Roman"/>
        </w:rPr>
        <w:t>t</w:t>
      </w:r>
      <w:r w:rsidRPr="00574F0B" w:rsidR="00416E02">
        <w:rPr>
          <w:rFonts w:ascii="Times New Roman" w:hAnsi="Times New Roman" w:cs="Times New Roman"/>
        </w:rPr>
        <w:t>, perhaps in a section entitled “Miscellan</w:t>
      </w:r>
      <w:r w:rsidRPr="00574F0B" w:rsidR="00127BEB">
        <w:rPr>
          <w:rFonts w:ascii="Times New Roman" w:hAnsi="Times New Roman" w:cs="Times New Roman"/>
        </w:rPr>
        <w:t>e</w:t>
      </w:r>
      <w:r w:rsidRPr="00574F0B" w:rsidR="00416E02">
        <w:rPr>
          <w:rFonts w:ascii="Times New Roman" w:hAnsi="Times New Roman" w:cs="Times New Roman"/>
        </w:rPr>
        <w:t>ous</w:t>
      </w:r>
      <w:r w:rsidRPr="00574F0B" w:rsidR="00E95C86">
        <w:rPr>
          <w:rFonts w:ascii="Times New Roman" w:hAnsi="Times New Roman" w:cs="Times New Roman"/>
        </w:rPr>
        <w:t xml:space="preserve"> Provisions</w:t>
      </w:r>
      <w:r w:rsidRPr="00574F0B" w:rsidR="00416E02">
        <w:rPr>
          <w:rFonts w:ascii="Times New Roman" w:hAnsi="Times New Roman" w:cs="Times New Roman"/>
        </w:rPr>
        <w:t>”</w:t>
      </w:r>
      <w:r w:rsidRPr="00574F0B" w:rsidR="00127BEB">
        <w:rPr>
          <w:rFonts w:ascii="Times New Roman" w:hAnsi="Times New Roman" w:cs="Times New Roman"/>
        </w:rPr>
        <w:t xml:space="preserve">. </w:t>
      </w:r>
      <w:r w:rsidRPr="00574F0B" w:rsidR="00F04D15">
        <w:rPr>
          <w:rFonts w:ascii="Times New Roman" w:hAnsi="Times New Roman" w:cs="Times New Roman"/>
        </w:rPr>
        <w:t>P</w:t>
      </w:r>
      <w:r w:rsidRPr="00574F0B" w:rsidR="0011329E">
        <w:rPr>
          <w:rFonts w:ascii="Times New Roman" w:hAnsi="Times New Roman" w:cs="Times New Roman"/>
        </w:rPr>
        <w:t>ossibly</w:t>
      </w:r>
      <w:r w:rsidRPr="00574F0B" w:rsidR="00F04D15">
        <w:rPr>
          <w:rFonts w:ascii="Times New Roman" w:hAnsi="Times New Roman" w:cs="Times New Roman"/>
        </w:rPr>
        <w:t xml:space="preserve"> it</w:t>
      </w:r>
      <w:r w:rsidRPr="00574F0B" w:rsidR="0011329E">
        <w:rPr>
          <w:rFonts w:ascii="Times New Roman" w:hAnsi="Times New Roman" w:cs="Times New Roman"/>
        </w:rPr>
        <w:t>’</w:t>
      </w:r>
      <w:r w:rsidRPr="00574F0B" w:rsidR="00F04D15">
        <w:rPr>
          <w:rFonts w:ascii="Times New Roman" w:hAnsi="Times New Roman" w:cs="Times New Roman"/>
        </w:rPr>
        <w:t xml:space="preserve">s contained </w:t>
      </w:r>
      <w:r w:rsidRPr="00574F0B" w:rsidR="0011329E">
        <w:rPr>
          <w:rFonts w:ascii="Times New Roman" w:hAnsi="Times New Roman" w:cs="Times New Roman"/>
        </w:rPr>
        <w:t xml:space="preserve">within the dispute </w:t>
      </w:r>
      <w:r w:rsidRPr="00574F0B" w:rsidR="00B37BDC">
        <w:rPr>
          <w:rFonts w:ascii="Times New Roman" w:hAnsi="Times New Roman" w:cs="Times New Roman"/>
        </w:rPr>
        <w:t xml:space="preserve">resolution </w:t>
      </w:r>
      <w:r w:rsidRPr="00574F0B" w:rsidR="0011329E">
        <w:rPr>
          <w:rFonts w:ascii="Times New Roman" w:hAnsi="Times New Roman" w:cs="Times New Roman"/>
        </w:rPr>
        <w:t>provisions</w:t>
      </w:r>
      <w:r w:rsidRPr="00574F0B" w:rsidR="00F04D15">
        <w:rPr>
          <w:rFonts w:ascii="Times New Roman" w:hAnsi="Times New Roman" w:cs="Times New Roman"/>
        </w:rPr>
        <w:t>.</w:t>
      </w:r>
      <w:r w:rsidRPr="00574F0B" w:rsidR="0011329E">
        <w:rPr>
          <w:rFonts w:ascii="Times New Roman" w:hAnsi="Times New Roman" w:cs="Times New Roman"/>
        </w:rPr>
        <w:t xml:space="preserve"> Wherever it is located, b</w:t>
      </w:r>
      <w:r w:rsidRPr="00574F0B" w:rsidR="00127BEB">
        <w:rPr>
          <w:rFonts w:ascii="Times New Roman" w:hAnsi="Times New Roman" w:cs="Times New Roman"/>
        </w:rPr>
        <w:t xml:space="preserve">y the time one comes to </w:t>
      </w:r>
      <w:r w:rsidRPr="00574F0B" w:rsidR="002D1D42">
        <w:rPr>
          <w:rFonts w:ascii="Times New Roman" w:hAnsi="Times New Roman" w:cs="Times New Roman"/>
        </w:rPr>
        <w:t>what is commonly ref</w:t>
      </w:r>
      <w:r w:rsidRPr="00574F0B" w:rsidR="00B2019E">
        <w:rPr>
          <w:rFonts w:ascii="Times New Roman" w:hAnsi="Times New Roman" w:cs="Times New Roman"/>
        </w:rPr>
        <w:t>er</w:t>
      </w:r>
      <w:r w:rsidRPr="00574F0B" w:rsidR="002D1D42">
        <w:rPr>
          <w:rFonts w:ascii="Times New Roman" w:hAnsi="Times New Roman" w:cs="Times New Roman"/>
        </w:rPr>
        <w:t xml:space="preserve">red to as a “Prevailing </w:t>
      </w:r>
      <w:r w:rsidRPr="00574F0B" w:rsidR="00154D69">
        <w:rPr>
          <w:rFonts w:ascii="Times New Roman" w:hAnsi="Times New Roman" w:cs="Times New Roman"/>
        </w:rPr>
        <w:t>Party”</w:t>
      </w:r>
      <w:r w:rsidRPr="00574F0B" w:rsidR="002D1D42">
        <w:rPr>
          <w:rFonts w:ascii="Times New Roman" w:hAnsi="Times New Roman" w:cs="Times New Roman"/>
        </w:rPr>
        <w:t xml:space="preserve"> </w:t>
      </w:r>
      <w:r w:rsidRPr="00574F0B" w:rsidR="006A4F98">
        <w:rPr>
          <w:rFonts w:ascii="Times New Roman" w:hAnsi="Times New Roman" w:cs="Times New Roman"/>
        </w:rPr>
        <w:t>clause</w:t>
      </w:r>
      <w:r w:rsidRPr="00574F0B" w:rsidR="00B2019E">
        <w:rPr>
          <w:rFonts w:ascii="Times New Roman" w:hAnsi="Times New Roman" w:cs="Times New Roman"/>
        </w:rPr>
        <w:t>,</w:t>
      </w:r>
      <w:r w:rsidRPr="00574F0B" w:rsidR="006A4F98">
        <w:rPr>
          <w:rFonts w:ascii="Times New Roman" w:hAnsi="Times New Roman" w:cs="Times New Roman"/>
        </w:rPr>
        <w:t xml:space="preserve"> </w:t>
      </w:r>
      <w:r w:rsidRPr="00574F0B" w:rsidR="00B2019E">
        <w:rPr>
          <w:rFonts w:ascii="Times New Roman" w:hAnsi="Times New Roman" w:cs="Times New Roman"/>
        </w:rPr>
        <w:t>one’s</w:t>
      </w:r>
      <w:r w:rsidRPr="00574F0B" w:rsidR="006A4F98">
        <w:rPr>
          <w:rFonts w:ascii="Times New Roman" w:hAnsi="Times New Roman" w:cs="Times New Roman"/>
        </w:rPr>
        <w:t xml:space="preserve"> brain can be </w:t>
      </w:r>
      <w:r w:rsidRPr="00574F0B" w:rsidR="00812ABC">
        <w:rPr>
          <w:rFonts w:ascii="Times New Roman" w:hAnsi="Times New Roman" w:cs="Times New Roman"/>
        </w:rPr>
        <w:t>tired</w:t>
      </w:r>
      <w:r w:rsidRPr="00574F0B" w:rsidR="000302E8">
        <w:rPr>
          <w:rFonts w:ascii="Times New Roman" w:hAnsi="Times New Roman" w:cs="Times New Roman"/>
        </w:rPr>
        <w:t>.</w:t>
      </w:r>
      <w:r w:rsidR="00812ABC">
        <w:rPr>
          <w:rFonts w:ascii="Times New Roman" w:hAnsi="Times New Roman" w:cs="Times New Roman"/>
        </w:rPr>
        <w:t xml:space="preserve"> </w:t>
      </w:r>
      <w:r w:rsidRPr="00574F0B" w:rsidR="000302E8">
        <w:rPr>
          <w:rFonts w:ascii="Times New Roman" w:hAnsi="Times New Roman" w:cs="Times New Roman"/>
        </w:rPr>
        <w:t xml:space="preserve">A Prevailing Party clause is a clause </w:t>
      </w:r>
      <w:r w:rsidRPr="00574F0B" w:rsidR="00B2019E">
        <w:rPr>
          <w:rFonts w:ascii="Times New Roman" w:hAnsi="Times New Roman" w:cs="Times New Roman"/>
        </w:rPr>
        <w:t xml:space="preserve">that </w:t>
      </w:r>
      <w:r w:rsidRPr="00574F0B" w:rsidR="000302E8">
        <w:rPr>
          <w:rFonts w:ascii="Times New Roman" w:hAnsi="Times New Roman" w:cs="Times New Roman"/>
        </w:rPr>
        <w:t xml:space="preserve">many design firms don’t </w:t>
      </w:r>
      <w:r w:rsidRPr="00574F0B" w:rsidR="00714D35">
        <w:rPr>
          <w:rFonts w:ascii="Times New Roman" w:hAnsi="Times New Roman" w:cs="Times New Roman"/>
        </w:rPr>
        <w:t xml:space="preserve">spend a great deal of time or energy negotiating. </w:t>
      </w:r>
      <w:r w:rsidRPr="00574F0B" w:rsidR="00416E02">
        <w:rPr>
          <w:rFonts w:ascii="Times New Roman" w:hAnsi="Times New Roman" w:cs="Times New Roman"/>
        </w:rPr>
        <w:t xml:space="preserve"> </w:t>
      </w:r>
      <w:r w:rsidRPr="00574F0B" w:rsidR="0022084A">
        <w:rPr>
          <w:rFonts w:ascii="Times New Roman" w:hAnsi="Times New Roman" w:cs="Times New Roman"/>
        </w:rPr>
        <w:t xml:space="preserve">Many firms don’t see it as </w:t>
      </w:r>
      <w:r w:rsidR="00AD4689">
        <w:rPr>
          <w:rFonts w:ascii="Times New Roman" w:hAnsi="Times New Roman" w:cs="Times New Roman"/>
        </w:rPr>
        <w:t xml:space="preserve">a </w:t>
      </w:r>
      <w:r w:rsidR="0075553B">
        <w:rPr>
          <w:rFonts w:ascii="Times New Roman" w:hAnsi="Times New Roman" w:cs="Times New Roman"/>
        </w:rPr>
        <w:t>critical</w:t>
      </w:r>
      <w:r w:rsidRPr="00574F0B" w:rsidR="0022084A">
        <w:rPr>
          <w:rFonts w:ascii="Times New Roman" w:hAnsi="Times New Roman" w:cs="Times New Roman"/>
        </w:rPr>
        <w:t xml:space="preserve"> clause</w:t>
      </w:r>
      <w:r w:rsidRPr="00574F0B" w:rsidR="004D532A">
        <w:rPr>
          <w:rFonts w:ascii="Times New Roman" w:hAnsi="Times New Roman" w:cs="Times New Roman"/>
        </w:rPr>
        <w:t xml:space="preserve">, nothing worth fighting about. </w:t>
      </w:r>
      <w:r w:rsidRPr="00574F0B" w:rsidR="00977EDE">
        <w:rPr>
          <w:rFonts w:ascii="Times New Roman" w:hAnsi="Times New Roman" w:cs="Times New Roman"/>
        </w:rPr>
        <w:t xml:space="preserve">Isn’t a clause </w:t>
      </w:r>
      <w:r w:rsidRPr="00574F0B" w:rsidR="00C05BE2">
        <w:rPr>
          <w:rFonts w:ascii="Times New Roman" w:hAnsi="Times New Roman" w:cs="Times New Roman"/>
        </w:rPr>
        <w:t>like</w:t>
      </w:r>
      <w:r w:rsidRPr="00574F0B" w:rsidR="00977EDE">
        <w:rPr>
          <w:rFonts w:ascii="Times New Roman" w:hAnsi="Times New Roman" w:cs="Times New Roman"/>
        </w:rPr>
        <w:t xml:space="preserve"> this why firms buy insurance?</w:t>
      </w:r>
      <w:r w:rsidRPr="00574F0B" w:rsidR="00F064C3">
        <w:rPr>
          <w:rFonts w:ascii="Times New Roman" w:hAnsi="Times New Roman" w:cs="Times New Roman"/>
        </w:rPr>
        <w:t xml:space="preserve"> Hopefully</w:t>
      </w:r>
      <w:r w:rsidRPr="00574F0B" w:rsidR="00C05BE2">
        <w:rPr>
          <w:rFonts w:ascii="Times New Roman" w:hAnsi="Times New Roman" w:cs="Times New Roman"/>
        </w:rPr>
        <w:t>,</w:t>
      </w:r>
      <w:r w:rsidRPr="00574F0B" w:rsidR="00F064C3">
        <w:rPr>
          <w:rFonts w:ascii="Times New Roman" w:hAnsi="Times New Roman" w:cs="Times New Roman"/>
        </w:rPr>
        <w:t xml:space="preserve"> you understand that in many instances, </w:t>
      </w:r>
      <w:r w:rsidRPr="00574F0B" w:rsidR="00EF50DB">
        <w:rPr>
          <w:rFonts w:ascii="Times New Roman" w:hAnsi="Times New Roman" w:cs="Times New Roman"/>
        </w:rPr>
        <w:t>Prevailing Party clauses drafted by your client</w:t>
      </w:r>
      <w:r w:rsidR="0075553B">
        <w:rPr>
          <w:rFonts w:ascii="Times New Roman" w:hAnsi="Times New Roman" w:cs="Times New Roman"/>
        </w:rPr>
        <w:t>s</w:t>
      </w:r>
      <w:r w:rsidRPr="00574F0B" w:rsidR="00EF50DB">
        <w:rPr>
          <w:rFonts w:ascii="Times New Roman" w:hAnsi="Times New Roman" w:cs="Times New Roman"/>
        </w:rPr>
        <w:t xml:space="preserve"> are often totally uninsurable. Since litigation costs can be enormous</w:t>
      </w:r>
      <w:r w:rsidRPr="00574F0B" w:rsidR="00CF572B">
        <w:rPr>
          <w:rFonts w:ascii="Times New Roman" w:hAnsi="Times New Roman" w:cs="Times New Roman"/>
        </w:rPr>
        <w:t>, this is not a clause you want to</w:t>
      </w:r>
      <w:r w:rsidRPr="00574F0B" w:rsidR="00C05BE2">
        <w:rPr>
          <w:rFonts w:ascii="Times New Roman" w:hAnsi="Times New Roman" w:cs="Times New Roman"/>
        </w:rPr>
        <w:t xml:space="preserve"> ignore or pass over quickly. </w:t>
      </w:r>
      <w:r w:rsidRPr="00574F0B" w:rsidR="002778A3">
        <w:rPr>
          <w:rFonts w:ascii="Times New Roman" w:hAnsi="Times New Roman" w:cs="Times New Roman"/>
        </w:rPr>
        <w:t xml:space="preserve">Cases arise </w:t>
      </w:r>
      <w:r w:rsidRPr="00574F0B" w:rsidR="00340B22">
        <w:rPr>
          <w:rFonts w:ascii="Times New Roman" w:hAnsi="Times New Roman" w:cs="Times New Roman"/>
          <w:kern w:val="0"/>
          <w14:ligatures w14:val="none"/>
        </w:rPr>
        <w:t>regularly where one party agrees to an onerous Prevailing Party clause, only to find themselves paying a relatively small amount in damages,</w:t>
      </w:r>
      <w:r w:rsidRPr="00574F0B" w:rsidR="00340B22">
        <w:rPr>
          <w:rFonts w:ascii="Times New Roman" w:hAnsi="Times New Roman" w:cs="Times New Roman"/>
        </w:rPr>
        <w:t xml:space="preserve"> but a </w:t>
      </w:r>
      <w:r w:rsidRPr="00574F0B" w:rsidR="00412259">
        <w:rPr>
          <w:rFonts w:ascii="Times New Roman" w:hAnsi="Times New Roman" w:cs="Times New Roman"/>
        </w:rPr>
        <w:t>vast</w:t>
      </w:r>
      <w:r w:rsidRPr="00574F0B" w:rsidR="00340B22">
        <w:rPr>
          <w:rFonts w:ascii="Times New Roman" w:hAnsi="Times New Roman" w:cs="Times New Roman"/>
        </w:rPr>
        <w:t xml:space="preserve"> sum in legal fees. </w:t>
      </w:r>
      <w:r w:rsidRPr="00C2761F" w:rsidR="002D613D">
        <w:rPr>
          <w:rFonts w:ascii="Times New Roman" w:hAnsi="Times New Roman" w:cs="Times New Roman"/>
          <w:color w:val="000000"/>
          <w:shd w:val="clear" w:color="auto" w:fill="FFFFFF"/>
        </w:rPr>
        <w:t xml:space="preserve">Very often, merely the threat of the </w:t>
      </w:r>
      <w:r w:rsidR="002D613D">
        <w:rPr>
          <w:rFonts w:ascii="Times New Roman" w:hAnsi="Times New Roman" w:cs="Times New Roman"/>
          <w:color w:val="000000"/>
          <w:shd w:val="clear" w:color="auto" w:fill="FFFFFF"/>
        </w:rPr>
        <w:t>massiv</w:t>
      </w:r>
      <w:r w:rsidRPr="00C2761F" w:rsidR="002D613D">
        <w:rPr>
          <w:rFonts w:ascii="Times New Roman" w:hAnsi="Times New Roman" w:cs="Times New Roman"/>
          <w:color w:val="000000"/>
          <w:shd w:val="clear" w:color="auto" w:fill="FFFFFF"/>
        </w:rPr>
        <w:t>e expense of a legal squabble is enough to convince the architect or engineer to make a business decision to settle</w:t>
      </w:r>
      <w:r w:rsidR="002D613D">
        <w:rPr>
          <w:rFonts w:ascii="Times New Roman" w:hAnsi="Times New Roman" w:cs="Times New Roman"/>
          <w:color w:val="000000"/>
          <w:shd w:val="clear" w:color="auto" w:fill="FFFFFF"/>
        </w:rPr>
        <w:t xml:space="preserve">, </w:t>
      </w:r>
      <w:r w:rsidRPr="00C2761F" w:rsidR="002D613D">
        <w:rPr>
          <w:rFonts w:ascii="Times New Roman" w:hAnsi="Times New Roman" w:cs="Times New Roman"/>
          <w:color w:val="000000"/>
          <w:shd w:val="clear" w:color="auto" w:fill="FFFFFF"/>
        </w:rPr>
        <w:t>even if they have little liability.</w:t>
      </w:r>
    </w:p>
    <w:p w:rsidRPr="00574F0B" w:rsidR="00B55CF7" w:rsidP="0007349A" w:rsidRDefault="00CC1E6E" w14:paraId="4E3B743F" w14:textId="603140FF">
      <w:pPr>
        <w:rPr>
          <w:rFonts w:ascii="Times New Roman" w:hAnsi="Times New Roman" w:cs="Times New Roman"/>
        </w:rPr>
      </w:pPr>
      <w:r w:rsidRPr="00574F0B">
        <w:rPr>
          <w:rFonts w:ascii="Times New Roman" w:hAnsi="Times New Roman" w:cs="Times New Roman"/>
        </w:rPr>
        <w:t xml:space="preserve">The origin of </w:t>
      </w:r>
      <w:r w:rsidRPr="00574F0B" w:rsidR="00FB4185">
        <w:rPr>
          <w:rFonts w:ascii="Times New Roman" w:hAnsi="Times New Roman" w:cs="Times New Roman"/>
        </w:rPr>
        <w:t xml:space="preserve">the Prevailing Party clause </w:t>
      </w:r>
      <w:r w:rsidRPr="00574F0B" w:rsidR="00C05BE2">
        <w:rPr>
          <w:rFonts w:ascii="Times New Roman" w:hAnsi="Times New Roman" w:cs="Times New Roman"/>
        </w:rPr>
        <w:t>goes</w:t>
      </w:r>
      <w:r w:rsidRPr="00574F0B" w:rsidR="00FB4185">
        <w:rPr>
          <w:rFonts w:ascii="Times New Roman" w:hAnsi="Times New Roman" w:cs="Times New Roman"/>
        </w:rPr>
        <w:t xml:space="preserve"> </w:t>
      </w:r>
      <w:r w:rsidRPr="00574F0B" w:rsidR="00C05BE2">
        <w:rPr>
          <w:rFonts w:ascii="Times New Roman" w:hAnsi="Times New Roman" w:cs="Times New Roman"/>
        </w:rPr>
        <w:t xml:space="preserve">back </w:t>
      </w:r>
      <w:r w:rsidRPr="00574F0B" w:rsidR="00E17323">
        <w:rPr>
          <w:rFonts w:ascii="Times New Roman" w:hAnsi="Times New Roman" w:cs="Times New Roman"/>
        </w:rPr>
        <w:t>to merry old England</w:t>
      </w:r>
      <w:r w:rsidRPr="00574F0B" w:rsidR="00FB4185">
        <w:rPr>
          <w:rFonts w:ascii="Times New Roman" w:hAnsi="Times New Roman" w:cs="Times New Roman"/>
        </w:rPr>
        <w:t xml:space="preserve">. </w:t>
      </w:r>
      <w:r w:rsidRPr="00574F0B" w:rsidR="00C87F50">
        <w:rPr>
          <w:rFonts w:ascii="Times New Roman" w:hAnsi="Times New Roman" w:cs="Times New Roman"/>
        </w:rPr>
        <w:t>England is usually thought of as the Mother Country of the United States.</w:t>
      </w:r>
      <w:r w:rsidRPr="00574F0B" w:rsidR="003149D6">
        <w:rPr>
          <w:rFonts w:ascii="Times New Roman" w:hAnsi="Times New Roman" w:cs="Times New Roman"/>
        </w:rPr>
        <w:t xml:space="preserve"> </w:t>
      </w:r>
      <w:r w:rsidRPr="00574F0B" w:rsidR="00D52867">
        <w:rPr>
          <w:rFonts w:ascii="Times New Roman" w:hAnsi="Times New Roman" w:cs="Times New Roman"/>
        </w:rPr>
        <w:t>As such</w:t>
      </w:r>
      <w:r w:rsidRPr="00574F0B" w:rsidR="000955C9">
        <w:rPr>
          <w:rFonts w:ascii="Times New Roman" w:hAnsi="Times New Roman" w:cs="Times New Roman"/>
        </w:rPr>
        <w:t>,</w:t>
      </w:r>
      <w:r w:rsidRPr="00574F0B" w:rsidR="00D52867">
        <w:rPr>
          <w:rFonts w:ascii="Times New Roman" w:hAnsi="Times New Roman" w:cs="Times New Roman"/>
        </w:rPr>
        <w:t xml:space="preserve"> many of the laws in the </w:t>
      </w:r>
      <w:r w:rsidRPr="00574F0B" w:rsidR="00244295">
        <w:rPr>
          <w:rFonts w:ascii="Times New Roman" w:hAnsi="Times New Roman" w:cs="Times New Roman"/>
        </w:rPr>
        <w:t xml:space="preserve">early colonies were borrowed </w:t>
      </w:r>
      <w:r w:rsidRPr="00574F0B" w:rsidR="00CB18B9">
        <w:rPr>
          <w:rFonts w:ascii="Times New Roman" w:hAnsi="Times New Roman" w:cs="Times New Roman"/>
        </w:rPr>
        <w:t xml:space="preserve">from Mother England. </w:t>
      </w:r>
      <w:r w:rsidRPr="00574F0B" w:rsidR="00084F2C">
        <w:rPr>
          <w:rFonts w:ascii="Times New Roman" w:hAnsi="Times New Roman" w:cs="Times New Roman"/>
        </w:rPr>
        <w:t xml:space="preserve">One legal concept that </w:t>
      </w:r>
      <w:r w:rsidRPr="00574F0B" w:rsidR="00097A03">
        <w:rPr>
          <w:rFonts w:ascii="Times New Roman" w:hAnsi="Times New Roman" w:cs="Times New Roman"/>
        </w:rPr>
        <w:t xml:space="preserve">the United States left behind when it </w:t>
      </w:r>
      <w:r w:rsidRPr="00574F0B" w:rsidR="00F00F07">
        <w:rPr>
          <w:rFonts w:ascii="Times New Roman" w:hAnsi="Times New Roman" w:cs="Times New Roman"/>
        </w:rPr>
        <w:t xml:space="preserve">became a sovereign nation involved the </w:t>
      </w:r>
      <w:r w:rsidRPr="00574F0B" w:rsidR="001F28CD">
        <w:rPr>
          <w:rFonts w:ascii="Times New Roman" w:hAnsi="Times New Roman" w:cs="Times New Roman"/>
        </w:rPr>
        <w:t xml:space="preserve">rule over which party was responsible for </w:t>
      </w:r>
      <w:r w:rsidRPr="00574F0B" w:rsidR="00715309">
        <w:rPr>
          <w:rFonts w:ascii="Times New Roman" w:hAnsi="Times New Roman" w:cs="Times New Roman"/>
        </w:rPr>
        <w:t xml:space="preserve">legal fees incurred during civil litigation. </w:t>
      </w:r>
      <w:r w:rsidRPr="00574F0B" w:rsidR="000F2C35">
        <w:rPr>
          <w:rFonts w:ascii="Times New Roman" w:hAnsi="Times New Roman" w:cs="Times New Roman"/>
        </w:rPr>
        <w:t xml:space="preserve"> The longstanding “English Rule”</w:t>
      </w:r>
      <w:r w:rsidRPr="00574F0B" w:rsidR="001D167C">
        <w:rPr>
          <w:rFonts w:ascii="Times New Roman" w:hAnsi="Times New Roman" w:cs="Times New Roman"/>
        </w:rPr>
        <w:t xml:space="preserve"> held that the party who loses in the litigation pays the winning party </w:t>
      </w:r>
      <w:r w:rsidRPr="00574F0B" w:rsidR="001869E0">
        <w:rPr>
          <w:rFonts w:ascii="Times New Roman" w:hAnsi="Times New Roman" w:cs="Times New Roman"/>
        </w:rPr>
        <w:t>their lega</w:t>
      </w:r>
      <w:r w:rsidRPr="00574F0B" w:rsidR="005D57D9">
        <w:rPr>
          <w:rFonts w:ascii="Times New Roman" w:hAnsi="Times New Roman" w:cs="Times New Roman"/>
        </w:rPr>
        <w:t>l</w:t>
      </w:r>
      <w:r w:rsidRPr="00574F0B" w:rsidR="001869E0">
        <w:rPr>
          <w:rFonts w:ascii="Times New Roman" w:hAnsi="Times New Roman" w:cs="Times New Roman"/>
        </w:rPr>
        <w:t xml:space="preserve"> </w:t>
      </w:r>
      <w:r w:rsidRPr="00574F0B" w:rsidR="006E7E50">
        <w:rPr>
          <w:rFonts w:ascii="Times New Roman" w:hAnsi="Times New Roman" w:cs="Times New Roman"/>
        </w:rPr>
        <w:t>cost</w:t>
      </w:r>
      <w:r w:rsidRPr="00574F0B" w:rsidR="001869E0">
        <w:rPr>
          <w:rFonts w:ascii="Times New Roman" w:hAnsi="Times New Roman" w:cs="Times New Roman"/>
        </w:rPr>
        <w:t xml:space="preserve">s incurred in the lawsuit. The rationale </w:t>
      </w:r>
      <w:r w:rsidRPr="00574F0B" w:rsidR="0014759B">
        <w:rPr>
          <w:rFonts w:ascii="Times New Roman" w:hAnsi="Times New Roman" w:cs="Times New Roman"/>
        </w:rPr>
        <w:t>behind the English Rule seems fair enough</w:t>
      </w:r>
      <w:r w:rsidR="001A58E4">
        <w:rPr>
          <w:rFonts w:ascii="Times New Roman" w:hAnsi="Times New Roman" w:cs="Times New Roman"/>
        </w:rPr>
        <w:t>:</w:t>
      </w:r>
      <w:r w:rsidRPr="00574F0B" w:rsidR="0014759B">
        <w:rPr>
          <w:rFonts w:ascii="Times New Roman" w:hAnsi="Times New Roman" w:cs="Times New Roman"/>
        </w:rPr>
        <w:t xml:space="preserve"> if </w:t>
      </w:r>
      <w:r w:rsidRPr="00574F0B" w:rsidR="00675792">
        <w:rPr>
          <w:rFonts w:ascii="Times New Roman" w:hAnsi="Times New Roman" w:cs="Times New Roman"/>
        </w:rPr>
        <w:t>you sue me and I win, it</w:t>
      </w:r>
      <w:r w:rsidRPr="00574F0B" w:rsidR="005D57D9">
        <w:rPr>
          <w:rFonts w:ascii="Times New Roman" w:hAnsi="Times New Roman" w:cs="Times New Roman"/>
        </w:rPr>
        <w:t>’</w:t>
      </w:r>
      <w:r w:rsidRPr="00574F0B" w:rsidR="00675792">
        <w:rPr>
          <w:rFonts w:ascii="Times New Roman" w:hAnsi="Times New Roman" w:cs="Times New Roman"/>
        </w:rPr>
        <w:t xml:space="preserve">s only fair that you pay me for the legal fees I’ve incurred, because I won. </w:t>
      </w:r>
      <w:r w:rsidRPr="00574F0B" w:rsidR="006E7E50">
        <w:rPr>
          <w:rFonts w:ascii="Times New Roman" w:hAnsi="Times New Roman" w:cs="Times New Roman"/>
        </w:rPr>
        <w:t>If I sue you, and you win, fairness dictates that I pay your legal costs.</w:t>
      </w:r>
      <w:r w:rsidRPr="00574F0B" w:rsidR="001869E0">
        <w:rPr>
          <w:rFonts w:ascii="Times New Roman" w:hAnsi="Times New Roman" w:cs="Times New Roman"/>
        </w:rPr>
        <w:t xml:space="preserve"> </w:t>
      </w:r>
      <w:r w:rsidR="001F4140">
        <w:rPr>
          <w:rFonts w:ascii="Times New Roman" w:hAnsi="Times New Roman" w:cs="Times New Roman"/>
        </w:rPr>
        <w:t xml:space="preserve">Since </w:t>
      </w:r>
      <w:r w:rsidR="001A58E4">
        <w:rPr>
          <w:rFonts w:ascii="Times New Roman" w:hAnsi="Times New Roman" w:cs="Times New Roman"/>
        </w:rPr>
        <w:t>most</w:t>
      </w:r>
      <w:r w:rsidR="001F4140">
        <w:rPr>
          <w:rFonts w:ascii="Times New Roman" w:hAnsi="Times New Roman" w:cs="Times New Roman"/>
        </w:rPr>
        <w:t xml:space="preserve"> claims against design firms </w:t>
      </w:r>
      <w:r w:rsidR="00051986">
        <w:rPr>
          <w:rFonts w:ascii="Times New Roman" w:hAnsi="Times New Roman" w:cs="Times New Roman"/>
        </w:rPr>
        <w:t xml:space="preserve">are resolved without any damages being paid out by the design firm, </w:t>
      </w:r>
      <w:r w:rsidR="00AF02E9">
        <w:rPr>
          <w:rFonts w:ascii="Times New Roman" w:hAnsi="Times New Roman" w:cs="Times New Roman"/>
        </w:rPr>
        <w:t>it might seem the English Rule would be preferable for the</w:t>
      </w:r>
      <w:r w:rsidR="00AC0216">
        <w:rPr>
          <w:rFonts w:ascii="Times New Roman" w:hAnsi="Times New Roman" w:cs="Times New Roman"/>
        </w:rPr>
        <w:t xml:space="preserve"> American</w:t>
      </w:r>
      <w:r w:rsidR="00AF02E9">
        <w:rPr>
          <w:rFonts w:ascii="Times New Roman" w:hAnsi="Times New Roman" w:cs="Times New Roman"/>
        </w:rPr>
        <w:t xml:space="preserve"> design profession.</w:t>
      </w:r>
    </w:p>
    <w:p w:rsidRPr="00574F0B" w:rsidR="009528E8" w:rsidP="0007349A" w:rsidRDefault="001472F9" w14:paraId="71C92EC4" w14:textId="1C8D37EB">
      <w:pPr>
        <w:rPr>
          <w:rFonts w:ascii="Times New Roman" w:hAnsi="Times New Roman" w:cs="Times New Roman"/>
        </w:rPr>
      </w:pPr>
      <w:r>
        <w:rPr>
          <w:rFonts w:ascii="Times New Roman" w:hAnsi="Times New Roman" w:cs="Times New Roman"/>
        </w:rPr>
        <w:t xml:space="preserve">Alas, </w:t>
      </w:r>
      <w:r w:rsidR="00DE6AD1">
        <w:rPr>
          <w:rFonts w:ascii="Times New Roman" w:hAnsi="Times New Roman" w:cs="Times New Roman"/>
        </w:rPr>
        <w:t>the U.S. follows the</w:t>
      </w:r>
      <w:r w:rsidRPr="00574F0B" w:rsidR="00B55CF7">
        <w:rPr>
          <w:rFonts w:ascii="Times New Roman" w:hAnsi="Times New Roman" w:cs="Times New Roman"/>
        </w:rPr>
        <w:t xml:space="preserve"> American Rule</w:t>
      </w:r>
      <w:r w:rsidR="00DE6AD1">
        <w:rPr>
          <w:rFonts w:ascii="Times New Roman" w:hAnsi="Times New Roman" w:cs="Times New Roman"/>
        </w:rPr>
        <w:t>. The American Rule</w:t>
      </w:r>
      <w:r w:rsidRPr="00574F0B" w:rsidR="006D3825">
        <w:rPr>
          <w:rFonts w:ascii="Times New Roman" w:hAnsi="Times New Roman" w:cs="Times New Roman"/>
        </w:rPr>
        <w:t xml:space="preserve"> holds that each party to a lawsuit should bear their own legal fees. </w:t>
      </w:r>
      <w:r w:rsidRPr="00574F0B" w:rsidR="009465C8">
        <w:rPr>
          <w:rFonts w:ascii="Times New Roman" w:hAnsi="Times New Roman" w:cs="Times New Roman"/>
        </w:rPr>
        <w:t xml:space="preserve">The reasoning behind the American Rule is </w:t>
      </w:r>
      <w:r w:rsidRPr="00574F0B" w:rsidR="00723EDE">
        <w:rPr>
          <w:rFonts w:ascii="Times New Roman" w:hAnsi="Times New Roman" w:cs="Times New Roman"/>
        </w:rPr>
        <w:t xml:space="preserve">the </w:t>
      </w:r>
      <w:r w:rsidR="008C2DB6">
        <w:rPr>
          <w:rFonts w:ascii="Times New Roman" w:hAnsi="Times New Roman" w:cs="Times New Roman"/>
        </w:rPr>
        <w:t>belief</w:t>
      </w:r>
      <w:r w:rsidRPr="00574F0B" w:rsidR="00723EDE">
        <w:rPr>
          <w:rFonts w:ascii="Times New Roman" w:hAnsi="Times New Roman" w:cs="Times New Roman"/>
        </w:rPr>
        <w:t xml:space="preserve"> </w:t>
      </w:r>
      <w:r w:rsidRPr="00574F0B" w:rsidR="009465C8">
        <w:rPr>
          <w:rFonts w:ascii="Times New Roman" w:hAnsi="Times New Roman" w:cs="Times New Roman"/>
        </w:rPr>
        <w:t xml:space="preserve">that </w:t>
      </w:r>
      <w:r w:rsidRPr="00574F0B" w:rsidR="00E9609F">
        <w:rPr>
          <w:rFonts w:ascii="Times New Roman" w:hAnsi="Times New Roman" w:cs="Times New Roman"/>
        </w:rPr>
        <w:t xml:space="preserve">the English Rule inhibits individuals </w:t>
      </w:r>
      <w:r w:rsidRPr="00574F0B" w:rsidR="002E2FE4">
        <w:rPr>
          <w:rFonts w:ascii="Times New Roman" w:hAnsi="Times New Roman" w:cs="Times New Roman"/>
        </w:rPr>
        <w:t>from pursuing legitimate claims</w:t>
      </w:r>
      <w:r w:rsidRPr="00574F0B" w:rsidR="004F36D9">
        <w:rPr>
          <w:rFonts w:ascii="Times New Roman" w:hAnsi="Times New Roman" w:cs="Times New Roman"/>
        </w:rPr>
        <w:t>. If some po</w:t>
      </w:r>
      <w:r w:rsidRPr="00574F0B" w:rsidR="0037249B">
        <w:rPr>
          <w:rFonts w:ascii="Times New Roman" w:hAnsi="Times New Roman" w:cs="Times New Roman"/>
        </w:rPr>
        <w:t>o</w:t>
      </w:r>
      <w:r w:rsidRPr="00574F0B" w:rsidR="004F36D9">
        <w:rPr>
          <w:rFonts w:ascii="Times New Roman" w:hAnsi="Times New Roman" w:cs="Times New Roman"/>
        </w:rPr>
        <w:t>r soul has been injured</w:t>
      </w:r>
      <w:r w:rsidRPr="00574F0B" w:rsidR="003E4933">
        <w:rPr>
          <w:rFonts w:ascii="Times New Roman" w:hAnsi="Times New Roman" w:cs="Times New Roman"/>
        </w:rPr>
        <w:t>, they might not pursue their legitimate claim because if the</w:t>
      </w:r>
      <w:r w:rsidRPr="00574F0B" w:rsidR="0037249B">
        <w:rPr>
          <w:rFonts w:ascii="Times New Roman" w:hAnsi="Times New Roman" w:cs="Times New Roman"/>
        </w:rPr>
        <w:t>y</w:t>
      </w:r>
      <w:r w:rsidRPr="00574F0B" w:rsidR="003E4933">
        <w:rPr>
          <w:rFonts w:ascii="Times New Roman" w:hAnsi="Times New Roman" w:cs="Times New Roman"/>
        </w:rPr>
        <w:t xml:space="preserve"> lose, they could potentially owe the other party a great deal of money</w:t>
      </w:r>
      <w:r w:rsidRPr="00574F0B" w:rsidR="00723EDE">
        <w:rPr>
          <w:rFonts w:ascii="Times New Roman" w:hAnsi="Times New Roman" w:cs="Times New Roman"/>
        </w:rPr>
        <w:t xml:space="preserve"> in legal fees</w:t>
      </w:r>
      <w:r w:rsidRPr="00574F0B" w:rsidR="003E4933">
        <w:rPr>
          <w:rFonts w:ascii="Times New Roman" w:hAnsi="Times New Roman" w:cs="Times New Roman"/>
        </w:rPr>
        <w:t xml:space="preserve">. </w:t>
      </w:r>
      <w:r w:rsidRPr="00574F0B" w:rsidR="003F2611">
        <w:rPr>
          <w:rFonts w:ascii="Times New Roman" w:hAnsi="Times New Roman" w:cs="Times New Roman"/>
        </w:rPr>
        <w:t xml:space="preserve">Many people believe, rightly or wrongly, </w:t>
      </w:r>
      <w:r w:rsidRPr="00574F0B" w:rsidR="0006690D">
        <w:rPr>
          <w:rFonts w:ascii="Times New Roman" w:hAnsi="Times New Roman" w:cs="Times New Roman"/>
        </w:rPr>
        <w:t xml:space="preserve">that the English Rule takes away ‘the keys to the courthouse’ for </w:t>
      </w:r>
      <w:r w:rsidRPr="00574F0B" w:rsidR="00CE6484">
        <w:rPr>
          <w:rFonts w:ascii="Times New Roman" w:hAnsi="Times New Roman" w:cs="Times New Roman"/>
        </w:rPr>
        <w:t>people without the financial resources to risk having to pay the other side</w:t>
      </w:r>
      <w:r w:rsidRPr="00574F0B" w:rsidR="004340EF">
        <w:rPr>
          <w:rFonts w:ascii="Times New Roman" w:hAnsi="Times New Roman" w:cs="Times New Roman"/>
        </w:rPr>
        <w:t>’</w:t>
      </w:r>
      <w:r w:rsidRPr="00574F0B" w:rsidR="00CE6484">
        <w:rPr>
          <w:rFonts w:ascii="Times New Roman" w:hAnsi="Times New Roman" w:cs="Times New Roman"/>
        </w:rPr>
        <w:t xml:space="preserve">s legal costs. </w:t>
      </w:r>
      <w:r w:rsidR="008C2DB6">
        <w:rPr>
          <w:rFonts w:ascii="Times New Roman" w:hAnsi="Times New Roman" w:cs="Times New Roman"/>
        </w:rPr>
        <w:t>Some</w:t>
      </w:r>
      <w:r w:rsidRPr="00574F0B" w:rsidR="009F3BC4">
        <w:rPr>
          <w:rFonts w:ascii="Times New Roman" w:hAnsi="Times New Roman" w:cs="Times New Roman"/>
        </w:rPr>
        <w:t xml:space="preserve"> believe the American Rule encourages lit</w:t>
      </w:r>
      <w:r w:rsidRPr="00574F0B" w:rsidR="00930DEC">
        <w:rPr>
          <w:rFonts w:ascii="Times New Roman" w:hAnsi="Times New Roman" w:cs="Times New Roman"/>
        </w:rPr>
        <w:t>igation.</w:t>
      </w:r>
      <w:r w:rsidRPr="00574F0B" w:rsidR="00262314">
        <w:rPr>
          <w:rFonts w:ascii="Times New Roman" w:hAnsi="Times New Roman" w:cs="Times New Roman"/>
        </w:rPr>
        <w:t xml:space="preserve"> In any event, in </w:t>
      </w:r>
      <w:r w:rsidR="008C2DB6">
        <w:rPr>
          <w:rFonts w:ascii="Times New Roman" w:hAnsi="Times New Roman" w:cs="Times New Roman"/>
        </w:rPr>
        <w:t xml:space="preserve">litigation in </w:t>
      </w:r>
      <w:r w:rsidRPr="00574F0B" w:rsidR="00262314">
        <w:rPr>
          <w:rFonts w:ascii="Times New Roman" w:hAnsi="Times New Roman" w:cs="Times New Roman"/>
        </w:rPr>
        <w:t xml:space="preserve">the U.S, in the absence of a contractual </w:t>
      </w:r>
      <w:r w:rsidRPr="00574F0B" w:rsidR="00667080">
        <w:rPr>
          <w:rFonts w:ascii="Times New Roman" w:hAnsi="Times New Roman" w:cs="Times New Roman"/>
        </w:rPr>
        <w:t>clause</w:t>
      </w:r>
      <w:r w:rsidR="008C2DB6">
        <w:rPr>
          <w:rFonts w:ascii="Times New Roman" w:hAnsi="Times New Roman" w:cs="Times New Roman"/>
        </w:rPr>
        <w:t xml:space="preserve"> or a statute</w:t>
      </w:r>
      <w:r w:rsidRPr="00574F0B" w:rsidR="00667080">
        <w:rPr>
          <w:rFonts w:ascii="Times New Roman" w:hAnsi="Times New Roman" w:cs="Times New Roman"/>
        </w:rPr>
        <w:t xml:space="preserve"> obligating one party to pay another’s legal costs, </w:t>
      </w:r>
      <w:r w:rsidRPr="00574F0B" w:rsidR="00723EDE">
        <w:rPr>
          <w:rFonts w:ascii="Times New Roman" w:hAnsi="Times New Roman" w:cs="Times New Roman"/>
        </w:rPr>
        <w:t>usu</w:t>
      </w:r>
      <w:r w:rsidRPr="00574F0B" w:rsidR="00667080">
        <w:rPr>
          <w:rFonts w:ascii="Times New Roman" w:hAnsi="Times New Roman" w:cs="Times New Roman"/>
        </w:rPr>
        <w:t xml:space="preserve">ally both parties to a contract </w:t>
      </w:r>
      <w:r w:rsidRPr="00574F0B" w:rsidR="005E4954">
        <w:rPr>
          <w:rFonts w:ascii="Times New Roman" w:hAnsi="Times New Roman" w:cs="Times New Roman"/>
        </w:rPr>
        <w:t xml:space="preserve">are responsible for their own legal costs. </w:t>
      </w:r>
    </w:p>
    <w:p w:rsidR="00AC77B4" w:rsidP="0007349A" w:rsidRDefault="00223CF2" w14:paraId="23AA2848" w14:textId="5C913C8D">
      <w:pPr>
        <w:rPr>
          <w:rFonts w:ascii="Times New Roman" w:hAnsi="Times New Roman" w:cs="Times New Roman"/>
        </w:rPr>
      </w:pPr>
      <w:r w:rsidRPr="00574F0B">
        <w:rPr>
          <w:rFonts w:ascii="Times New Roman" w:hAnsi="Times New Roman" w:cs="Times New Roman"/>
        </w:rPr>
        <w:t>C</w:t>
      </w:r>
      <w:r w:rsidRPr="00574F0B" w:rsidR="009F3FF7">
        <w:rPr>
          <w:rFonts w:ascii="Times New Roman" w:hAnsi="Times New Roman" w:cs="Times New Roman"/>
        </w:rPr>
        <w:t>laims against design firms</w:t>
      </w:r>
      <w:r w:rsidRPr="00574F0B" w:rsidR="00CB18B9">
        <w:rPr>
          <w:rFonts w:ascii="Times New Roman" w:hAnsi="Times New Roman" w:cs="Times New Roman"/>
        </w:rPr>
        <w:t xml:space="preserve"> </w:t>
      </w:r>
      <w:r w:rsidRPr="00574F0B">
        <w:rPr>
          <w:rFonts w:ascii="Times New Roman" w:hAnsi="Times New Roman" w:cs="Times New Roman"/>
        </w:rPr>
        <w:t>almost always seem to fall under the Professional Lia</w:t>
      </w:r>
      <w:r w:rsidRPr="00574F0B" w:rsidR="0032209A">
        <w:rPr>
          <w:rFonts w:ascii="Times New Roman" w:hAnsi="Times New Roman" w:cs="Times New Roman"/>
        </w:rPr>
        <w:t>bi</w:t>
      </w:r>
      <w:r w:rsidRPr="00574F0B">
        <w:rPr>
          <w:rFonts w:ascii="Times New Roman" w:hAnsi="Times New Roman" w:cs="Times New Roman"/>
        </w:rPr>
        <w:t>lity Policy.</w:t>
      </w:r>
      <w:r w:rsidRPr="00574F0B" w:rsidR="00553533">
        <w:rPr>
          <w:rFonts w:ascii="Times New Roman" w:hAnsi="Times New Roman" w:cs="Times New Roman"/>
        </w:rPr>
        <w:t xml:space="preserve"> </w:t>
      </w:r>
      <w:r w:rsidR="005F72D5">
        <w:rPr>
          <w:rFonts w:ascii="Times New Roman" w:hAnsi="Times New Roman" w:cs="Times New Roman"/>
        </w:rPr>
        <w:t>A</w:t>
      </w:r>
      <w:r w:rsidRPr="00574F0B" w:rsidR="004F0E3E">
        <w:rPr>
          <w:rFonts w:ascii="Times New Roman" w:hAnsi="Times New Roman" w:cs="Times New Roman"/>
        </w:rPr>
        <w:t xml:space="preserve"> longstanding </w:t>
      </w:r>
      <w:r w:rsidRPr="00574F0B" w:rsidR="007C2ACE">
        <w:rPr>
          <w:rFonts w:ascii="Times New Roman" w:hAnsi="Times New Roman" w:cs="Times New Roman"/>
        </w:rPr>
        <w:t>policy exclusion</w:t>
      </w:r>
      <w:r w:rsidRPr="00574F0B" w:rsidR="004F0E3E">
        <w:rPr>
          <w:rFonts w:ascii="Times New Roman" w:hAnsi="Times New Roman" w:cs="Times New Roman"/>
        </w:rPr>
        <w:t xml:space="preserve"> amongst professional liabi</w:t>
      </w:r>
      <w:r w:rsidRPr="00574F0B" w:rsidR="004340EF">
        <w:rPr>
          <w:rFonts w:ascii="Times New Roman" w:hAnsi="Times New Roman" w:cs="Times New Roman"/>
        </w:rPr>
        <w:t>lit</w:t>
      </w:r>
      <w:r w:rsidRPr="00574F0B" w:rsidR="004F0E3E">
        <w:rPr>
          <w:rFonts w:ascii="Times New Roman" w:hAnsi="Times New Roman" w:cs="Times New Roman"/>
        </w:rPr>
        <w:t>y carrier</w:t>
      </w:r>
      <w:r w:rsidR="002062DF">
        <w:rPr>
          <w:rFonts w:ascii="Times New Roman" w:hAnsi="Times New Roman" w:cs="Times New Roman"/>
        </w:rPr>
        <w:t xml:space="preserve"> policies</w:t>
      </w:r>
      <w:r w:rsidRPr="00574F0B" w:rsidR="004F0E3E">
        <w:rPr>
          <w:rFonts w:ascii="Times New Roman" w:hAnsi="Times New Roman" w:cs="Times New Roman"/>
        </w:rPr>
        <w:t xml:space="preserve"> </w:t>
      </w:r>
      <w:r w:rsidR="005F72D5">
        <w:rPr>
          <w:rFonts w:ascii="Times New Roman" w:hAnsi="Times New Roman" w:cs="Times New Roman"/>
        </w:rPr>
        <w:t xml:space="preserve">is </w:t>
      </w:r>
      <w:r w:rsidRPr="00574F0B" w:rsidR="004F0E3E">
        <w:rPr>
          <w:rFonts w:ascii="Times New Roman" w:hAnsi="Times New Roman" w:cs="Times New Roman"/>
        </w:rPr>
        <w:t>that the</w:t>
      </w:r>
      <w:r w:rsidR="002062DF">
        <w:rPr>
          <w:rFonts w:ascii="Times New Roman" w:hAnsi="Times New Roman" w:cs="Times New Roman"/>
        </w:rPr>
        <w:t>y</w:t>
      </w:r>
      <w:r w:rsidR="005F72D5">
        <w:rPr>
          <w:rFonts w:ascii="Times New Roman" w:hAnsi="Times New Roman" w:cs="Times New Roman"/>
        </w:rPr>
        <w:t xml:space="preserve"> </w:t>
      </w:r>
      <w:r w:rsidRPr="00574F0B" w:rsidR="004F0E3E">
        <w:rPr>
          <w:rFonts w:ascii="Times New Roman" w:hAnsi="Times New Roman" w:cs="Times New Roman"/>
        </w:rPr>
        <w:t xml:space="preserve">exclude coverage for the other </w:t>
      </w:r>
      <w:r w:rsidRPr="00574F0B" w:rsidR="004340EF">
        <w:rPr>
          <w:rFonts w:ascii="Times New Roman" w:hAnsi="Times New Roman" w:cs="Times New Roman"/>
        </w:rPr>
        <w:t>party's legal costs.</w:t>
      </w:r>
      <w:r w:rsidRPr="00574F0B" w:rsidR="00D237D0">
        <w:rPr>
          <w:rFonts w:ascii="Times New Roman" w:hAnsi="Times New Roman" w:cs="Times New Roman"/>
        </w:rPr>
        <w:t xml:space="preserve"> </w:t>
      </w:r>
      <w:r w:rsidRPr="00574F0B" w:rsidR="00182BFD">
        <w:rPr>
          <w:rFonts w:ascii="Times New Roman" w:hAnsi="Times New Roman" w:cs="Times New Roman"/>
        </w:rPr>
        <w:t xml:space="preserve">The insurance carriers did not want to </w:t>
      </w:r>
      <w:r w:rsidRPr="00574F0B" w:rsidR="00D76209">
        <w:rPr>
          <w:rFonts w:ascii="Times New Roman" w:hAnsi="Times New Roman" w:cs="Times New Roman"/>
        </w:rPr>
        <w:t>incentivize</w:t>
      </w:r>
      <w:r w:rsidRPr="00574F0B" w:rsidR="00182BFD">
        <w:rPr>
          <w:rFonts w:ascii="Times New Roman" w:hAnsi="Times New Roman" w:cs="Times New Roman"/>
        </w:rPr>
        <w:t xml:space="preserve"> </w:t>
      </w:r>
      <w:r w:rsidRPr="00574F0B" w:rsidR="004061EF">
        <w:rPr>
          <w:rFonts w:ascii="Times New Roman" w:hAnsi="Times New Roman" w:cs="Times New Roman"/>
        </w:rPr>
        <w:t>claimants to pursue a claim</w:t>
      </w:r>
      <w:r w:rsidRPr="00574F0B" w:rsidR="00723EDE">
        <w:rPr>
          <w:rFonts w:ascii="Times New Roman" w:hAnsi="Times New Roman" w:cs="Times New Roman"/>
        </w:rPr>
        <w:t xml:space="preserve"> against an architect, engineer, or other design firm</w:t>
      </w:r>
      <w:r w:rsidRPr="00574F0B" w:rsidR="00D76209">
        <w:rPr>
          <w:rFonts w:ascii="Times New Roman" w:hAnsi="Times New Roman" w:cs="Times New Roman"/>
        </w:rPr>
        <w:t>,</w:t>
      </w:r>
      <w:r w:rsidRPr="00574F0B" w:rsidR="004061EF">
        <w:rPr>
          <w:rFonts w:ascii="Times New Roman" w:hAnsi="Times New Roman" w:cs="Times New Roman"/>
        </w:rPr>
        <w:t xml:space="preserve"> </w:t>
      </w:r>
      <w:r w:rsidRPr="00574F0B" w:rsidR="00D76209">
        <w:rPr>
          <w:rFonts w:ascii="Times New Roman" w:hAnsi="Times New Roman" w:cs="Times New Roman"/>
        </w:rPr>
        <w:t>as</w:t>
      </w:r>
      <w:r w:rsidRPr="00574F0B" w:rsidR="004061EF">
        <w:rPr>
          <w:rFonts w:ascii="Times New Roman" w:hAnsi="Times New Roman" w:cs="Times New Roman"/>
        </w:rPr>
        <w:t xml:space="preserve"> they might also recover their attorney fees.  </w:t>
      </w:r>
      <w:r w:rsidRPr="00574F0B" w:rsidR="00D237D0">
        <w:rPr>
          <w:rFonts w:ascii="Times New Roman" w:hAnsi="Times New Roman" w:cs="Times New Roman"/>
        </w:rPr>
        <w:t>In recent years</w:t>
      </w:r>
      <w:r w:rsidRPr="00574F0B" w:rsidR="002F7822">
        <w:rPr>
          <w:rFonts w:ascii="Times New Roman" w:hAnsi="Times New Roman" w:cs="Times New Roman"/>
        </w:rPr>
        <w:t>,</w:t>
      </w:r>
      <w:r w:rsidRPr="00574F0B" w:rsidR="00D237D0">
        <w:rPr>
          <w:rFonts w:ascii="Times New Roman" w:hAnsi="Times New Roman" w:cs="Times New Roman"/>
        </w:rPr>
        <w:t xml:space="preserve"> many professional liability carriers</w:t>
      </w:r>
      <w:r w:rsidRPr="00574F0B" w:rsidR="002F7822">
        <w:rPr>
          <w:rFonts w:ascii="Times New Roman" w:hAnsi="Times New Roman" w:cs="Times New Roman"/>
        </w:rPr>
        <w:t xml:space="preserve"> have</w:t>
      </w:r>
      <w:r w:rsidRPr="00574F0B" w:rsidR="00D237D0">
        <w:rPr>
          <w:rFonts w:ascii="Times New Roman" w:hAnsi="Times New Roman" w:cs="Times New Roman"/>
        </w:rPr>
        <w:t xml:space="preserve"> relaxed the total exclusion of cover</w:t>
      </w:r>
      <w:r w:rsidRPr="00574F0B" w:rsidR="002F7822">
        <w:rPr>
          <w:rFonts w:ascii="Times New Roman" w:hAnsi="Times New Roman" w:cs="Times New Roman"/>
        </w:rPr>
        <w:t>a</w:t>
      </w:r>
      <w:r w:rsidRPr="00574F0B" w:rsidR="00D237D0">
        <w:rPr>
          <w:rFonts w:ascii="Times New Roman" w:hAnsi="Times New Roman" w:cs="Times New Roman"/>
        </w:rPr>
        <w:t>ge for the other part</w:t>
      </w:r>
      <w:r w:rsidRPr="00574F0B" w:rsidR="002F7822">
        <w:rPr>
          <w:rFonts w:ascii="Times New Roman" w:hAnsi="Times New Roman" w:cs="Times New Roman"/>
        </w:rPr>
        <w:t>y'</w:t>
      </w:r>
      <w:r w:rsidRPr="00574F0B" w:rsidR="00D237D0">
        <w:rPr>
          <w:rFonts w:ascii="Times New Roman" w:hAnsi="Times New Roman" w:cs="Times New Roman"/>
        </w:rPr>
        <w:t xml:space="preserve">s legal fees to </w:t>
      </w:r>
      <w:r w:rsidRPr="00574F0B" w:rsidR="002F7822">
        <w:rPr>
          <w:rFonts w:ascii="Times New Roman" w:hAnsi="Times New Roman" w:cs="Times New Roman"/>
        </w:rPr>
        <w:t xml:space="preserve">add </w:t>
      </w:r>
      <w:r w:rsidRPr="00574F0B" w:rsidR="001163BD">
        <w:rPr>
          <w:rFonts w:ascii="Times New Roman" w:hAnsi="Times New Roman" w:cs="Times New Roman"/>
        </w:rPr>
        <w:t xml:space="preserve">coverage for the reasonable defense fees incurred </w:t>
      </w:r>
      <w:r w:rsidRPr="00574F0B" w:rsidR="00182BFD">
        <w:rPr>
          <w:rFonts w:ascii="Times New Roman" w:hAnsi="Times New Roman" w:cs="Times New Roman"/>
        </w:rPr>
        <w:t xml:space="preserve">by the other party </w:t>
      </w:r>
      <w:r w:rsidRPr="00C952A1" w:rsidR="001163BD">
        <w:rPr>
          <w:rFonts w:ascii="Times New Roman" w:hAnsi="Times New Roman" w:cs="Times New Roman"/>
          <w:u w:val="single"/>
        </w:rPr>
        <w:t xml:space="preserve">to the extent </w:t>
      </w:r>
      <w:r w:rsidRPr="00C952A1" w:rsidR="00431747">
        <w:rPr>
          <w:rFonts w:ascii="Times New Roman" w:hAnsi="Times New Roman" w:cs="Times New Roman"/>
          <w:u w:val="single"/>
        </w:rPr>
        <w:t>those fees were incurred because of the insured</w:t>
      </w:r>
      <w:r w:rsidRPr="00C952A1" w:rsidR="00D76209">
        <w:rPr>
          <w:rFonts w:ascii="Times New Roman" w:hAnsi="Times New Roman" w:cs="Times New Roman"/>
          <w:u w:val="single"/>
        </w:rPr>
        <w:t>’</w:t>
      </w:r>
      <w:r w:rsidRPr="00C952A1" w:rsidR="00431747">
        <w:rPr>
          <w:rFonts w:ascii="Times New Roman" w:hAnsi="Times New Roman" w:cs="Times New Roman"/>
          <w:u w:val="single"/>
        </w:rPr>
        <w:t>s professional negligence</w:t>
      </w:r>
      <w:r w:rsidRPr="00574F0B" w:rsidR="00431747">
        <w:rPr>
          <w:rFonts w:ascii="Times New Roman" w:hAnsi="Times New Roman" w:cs="Times New Roman"/>
        </w:rPr>
        <w:t xml:space="preserve">. </w:t>
      </w:r>
      <w:r w:rsidR="007F7F08">
        <w:rPr>
          <w:rFonts w:ascii="Times New Roman" w:hAnsi="Times New Roman" w:cs="Times New Roman"/>
        </w:rPr>
        <w:t>While these changes provide some coverage</w:t>
      </w:r>
      <w:r w:rsidR="00557898">
        <w:rPr>
          <w:rFonts w:ascii="Times New Roman" w:hAnsi="Times New Roman" w:cs="Times New Roman"/>
        </w:rPr>
        <w:t xml:space="preserve"> for litigation costs</w:t>
      </w:r>
      <w:r w:rsidR="007F7F08">
        <w:rPr>
          <w:rFonts w:ascii="Times New Roman" w:hAnsi="Times New Roman" w:cs="Times New Roman"/>
        </w:rPr>
        <w:t xml:space="preserve"> where there was none before, the coverage is still </w:t>
      </w:r>
      <w:r w:rsidR="00B018AF">
        <w:rPr>
          <w:rFonts w:ascii="Times New Roman" w:hAnsi="Times New Roman" w:cs="Times New Roman"/>
        </w:rPr>
        <w:t>quite</w:t>
      </w:r>
      <w:r w:rsidR="007F7F08">
        <w:rPr>
          <w:rFonts w:ascii="Times New Roman" w:hAnsi="Times New Roman" w:cs="Times New Roman"/>
        </w:rPr>
        <w:t xml:space="preserve"> limited. </w:t>
      </w:r>
      <w:r w:rsidR="00C952A1">
        <w:rPr>
          <w:rFonts w:ascii="Times New Roman" w:hAnsi="Times New Roman" w:cs="Times New Roman"/>
        </w:rPr>
        <w:t>There</w:t>
      </w:r>
      <w:r w:rsidRPr="00574F0B" w:rsidR="00233641">
        <w:rPr>
          <w:rFonts w:ascii="Times New Roman" w:hAnsi="Times New Roman" w:cs="Times New Roman"/>
        </w:rPr>
        <w:t xml:space="preserve"> are </w:t>
      </w:r>
      <w:r w:rsidR="007F7F08">
        <w:rPr>
          <w:rFonts w:ascii="Times New Roman" w:hAnsi="Times New Roman" w:cs="Times New Roman"/>
        </w:rPr>
        <w:t xml:space="preserve">other </w:t>
      </w:r>
      <w:r w:rsidRPr="00574F0B" w:rsidR="00233641">
        <w:rPr>
          <w:rFonts w:ascii="Times New Roman" w:hAnsi="Times New Roman" w:cs="Times New Roman"/>
        </w:rPr>
        <w:t xml:space="preserve">nuances </w:t>
      </w:r>
      <w:r w:rsidR="00B018AF">
        <w:rPr>
          <w:rFonts w:ascii="Times New Roman" w:hAnsi="Times New Roman" w:cs="Times New Roman"/>
        </w:rPr>
        <w:t xml:space="preserve">as </w:t>
      </w:r>
      <w:r w:rsidR="00C952A1">
        <w:rPr>
          <w:rFonts w:ascii="Times New Roman" w:hAnsi="Times New Roman" w:cs="Times New Roman"/>
        </w:rPr>
        <w:t xml:space="preserve">well </w:t>
      </w:r>
      <w:r w:rsidRPr="00574F0B" w:rsidR="00233641">
        <w:rPr>
          <w:rFonts w:ascii="Times New Roman" w:hAnsi="Times New Roman" w:cs="Times New Roman"/>
        </w:rPr>
        <w:t xml:space="preserve">to </w:t>
      </w:r>
      <w:r w:rsidRPr="00574F0B" w:rsidR="00AC77B4">
        <w:rPr>
          <w:rFonts w:ascii="Times New Roman" w:hAnsi="Times New Roman" w:cs="Times New Roman"/>
        </w:rPr>
        <w:t>whether</w:t>
      </w:r>
      <w:r w:rsidRPr="00574F0B" w:rsidR="00233641">
        <w:rPr>
          <w:rFonts w:ascii="Times New Roman" w:hAnsi="Times New Roman" w:cs="Times New Roman"/>
        </w:rPr>
        <w:t xml:space="preserve"> you would have coverage </w:t>
      </w:r>
      <w:r w:rsidRPr="00574F0B" w:rsidR="001202E3">
        <w:rPr>
          <w:rFonts w:ascii="Times New Roman" w:hAnsi="Times New Roman" w:cs="Times New Roman"/>
        </w:rPr>
        <w:t xml:space="preserve">on this issue, so it is essential to discuss this with your professional liability broker. </w:t>
      </w:r>
      <w:r w:rsidRPr="00574F0B" w:rsidR="00E95E35">
        <w:rPr>
          <w:rFonts w:ascii="Times New Roman" w:hAnsi="Times New Roman" w:cs="Times New Roman"/>
        </w:rPr>
        <w:t xml:space="preserve"> </w:t>
      </w:r>
    </w:p>
    <w:p w:rsidR="008143A0" w:rsidP="0007349A" w:rsidRDefault="008143A0" w14:paraId="326F256C" w14:textId="77777777">
      <w:pPr>
        <w:rPr>
          <w:rFonts w:ascii="Times New Roman" w:hAnsi="Times New Roman" w:cs="Times New Roman"/>
        </w:rPr>
      </w:pPr>
    </w:p>
    <w:p w:rsidR="008143A0" w:rsidP="0007349A" w:rsidRDefault="008143A0" w14:paraId="075E92E1" w14:textId="77777777">
      <w:pPr>
        <w:rPr>
          <w:rFonts w:ascii="Times New Roman" w:hAnsi="Times New Roman" w:cs="Times New Roman"/>
        </w:rPr>
      </w:pPr>
    </w:p>
    <w:p w:rsidR="00E26919" w:rsidP="0007349A" w:rsidRDefault="003E633A" w14:paraId="427ED220" w14:textId="1E432564">
      <w:pPr>
        <w:rPr>
          <w:rStyle w:val="Emphasis"/>
          <w:rFonts w:ascii="Times New Roman" w:hAnsi="Times New Roman" w:cs="Times New Roman"/>
          <w:color w:val="212121"/>
          <w:bdr w:val="none" w:color="auto" w:sz="0" w:space="0" w:frame="1"/>
          <w:shd w:val="clear" w:color="auto" w:fill="FFFFFF"/>
        </w:rPr>
      </w:pPr>
      <w:r w:rsidRPr="00574F0B">
        <w:rPr>
          <w:rFonts w:ascii="Times New Roman" w:hAnsi="Times New Roman" w:cs="Times New Roman"/>
        </w:rPr>
        <w:lastRenderedPageBreak/>
        <w:t>One example of a</w:t>
      </w:r>
      <w:r w:rsidR="00AC77B4">
        <w:rPr>
          <w:rFonts w:ascii="Times New Roman" w:hAnsi="Times New Roman" w:cs="Times New Roman"/>
        </w:rPr>
        <w:t xml:space="preserve"> poor</w:t>
      </w:r>
      <w:r w:rsidRPr="00574F0B">
        <w:rPr>
          <w:rFonts w:ascii="Times New Roman" w:hAnsi="Times New Roman" w:cs="Times New Roman"/>
        </w:rPr>
        <w:t xml:space="preserve"> owner-generated Prevailing Party </w:t>
      </w:r>
      <w:r w:rsidR="007B70DA">
        <w:rPr>
          <w:rFonts w:ascii="Times New Roman" w:hAnsi="Times New Roman" w:cs="Times New Roman"/>
        </w:rPr>
        <w:t>clause</w:t>
      </w:r>
      <w:r w:rsidRPr="00574F0B">
        <w:rPr>
          <w:rFonts w:ascii="Times New Roman" w:hAnsi="Times New Roman" w:cs="Times New Roman"/>
        </w:rPr>
        <w:t xml:space="preserve"> is:</w:t>
      </w:r>
    </w:p>
    <w:p w:rsidRPr="00574F0B" w:rsidR="00821AF8" w:rsidP="0007349A" w:rsidRDefault="00FB6679" w14:paraId="2ED49C24" w14:textId="10FE2467">
      <w:pPr>
        <w:rPr>
          <w:rFonts w:ascii="Times New Roman" w:hAnsi="Times New Roman" w:cs="Times New Roman"/>
        </w:rPr>
      </w:pPr>
      <w:r>
        <w:rPr>
          <w:rStyle w:val="Emphasis"/>
          <w:rFonts w:ascii="Times New Roman" w:hAnsi="Times New Roman" w:cs="Times New Roman"/>
          <w:color w:val="212121"/>
          <w:bdr w:val="none" w:color="auto" w:sz="0" w:space="0" w:frame="1"/>
          <w:shd w:val="clear" w:color="auto" w:fill="FFFFFF"/>
        </w:rPr>
        <w:t>“</w:t>
      </w:r>
      <w:r w:rsidRPr="00E26919" w:rsidR="00E21E0B">
        <w:rPr>
          <w:rStyle w:val="Emphasis"/>
          <w:rFonts w:ascii="Times New Roman" w:hAnsi="Times New Roman" w:cs="Times New Roman"/>
          <w:color w:val="212121"/>
          <w:bdr w:val="none" w:color="auto" w:sz="0" w:space="0" w:frame="1"/>
          <w:shd w:val="clear" w:color="auto" w:fill="FFFFFF"/>
        </w:rPr>
        <w:t xml:space="preserve">If </w:t>
      </w:r>
      <w:r w:rsidRPr="00E26919" w:rsidR="003E633A">
        <w:rPr>
          <w:rStyle w:val="Emphasis"/>
          <w:rFonts w:ascii="Times New Roman" w:hAnsi="Times New Roman" w:cs="Times New Roman"/>
          <w:color w:val="212121"/>
          <w:bdr w:val="none" w:color="auto" w:sz="0" w:space="0" w:frame="1"/>
          <w:shd w:val="clear" w:color="auto" w:fill="FFFFFF"/>
        </w:rPr>
        <w:t>Architect default</w:t>
      </w:r>
      <w:r w:rsidRPr="00E26919" w:rsidR="00E21E0B">
        <w:rPr>
          <w:rStyle w:val="Emphasis"/>
          <w:rFonts w:ascii="Times New Roman" w:hAnsi="Times New Roman" w:cs="Times New Roman"/>
          <w:color w:val="212121"/>
          <w:bdr w:val="none" w:color="auto" w:sz="0" w:space="0" w:frame="1"/>
          <w:shd w:val="clear" w:color="auto" w:fill="FFFFFF"/>
        </w:rPr>
        <w:t>s</w:t>
      </w:r>
      <w:r w:rsidRPr="00E26919" w:rsidR="003E633A">
        <w:rPr>
          <w:rStyle w:val="Emphasis"/>
          <w:rFonts w:ascii="Times New Roman" w:hAnsi="Times New Roman" w:cs="Times New Roman"/>
          <w:color w:val="212121"/>
          <w:bdr w:val="none" w:color="auto" w:sz="0" w:space="0" w:frame="1"/>
          <w:shd w:val="clear" w:color="auto" w:fill="FFFFFF"/>
        </w:rPr>
        <w:t xml:space="preserve"> in its obligations to Owner under this Agreement</w:t>
      </w:r>
      <w:r w:rsidRPr="00E26919" w:rsidR="000D2104">
        <w:rPr>
          <w:rStyle w:val="Emphasis"/>
          <w:rFonts w:ascii="Times New Roman" w:hAnsi="Times New Roman" w:cs="Times New Roman"/>
          <w:color w:val="212121"/>
          <w:bdr w:val="none" w:color="auto" w:sz="0" w:space="0" w:frame="1"/>
          <w:shd w:val="clear" w:color="auto" w:fill="FFFFFF"/>
        </w:rPr>
        <w:t>,</w:t>
      </w:r>
      <w:r w:rsidRPr="00E26919" w:rsidR="00EA48B5">
        <w:rPr>
          <w:rStyle w:val="Emphasis"/>
          <w:rFonts w:ascii="Times New Roman" w:hAnsi="Times New Roman" w:cs="Times New Roman"/>
          <w:color w:val="212121"/>
          <w:bdr w:val="none" w:color="auto" w:sz="0" w:space="0" w:frame="1"/>
          <w:shd w:val="clear" w:color="auto" w:fill="FFFFFF"/>
        </w:rPr>
        <w:t xml:space="preserve"> </w:t>
      </w:r>
      <w:r w:rsidRPr="00E26919" w:rsidR="003E633A">
        <w:rPr>
          <w:rStyle w:val="Emphasis"/>
          <w:rFonts w:ascii="Times New Roman" w:hAnsi="Times New Roman" w:cs="Times New Roman"/>
          <w:color w:val="212121"/>
          <w:bdr w:val="none" w:color="auto" w:sz="0" w:space="0" w:frame="1"/>
          <w:shd w:val="clear" w:color="auto" w:fill="FFFFFF"/>
        </w:rPr>
        <w:t xml:space="preserve">Owner shall be entitled to recover from Architect, in addition to any other damages incurred by Owner, Owner’s reasonable costs (including reasonable attorneys’ and experts’ fees and </w:t>
      </w:r>
      <w:r w:rsidRPr="00E26919" w:rsidR="00EA48B5">
        <w:rPr>
          <w:rStyle w:val="Emphasis"/>
          <w:rFonts w:ascii="Times New Roman" w:hAnsi="Times New Roman" w:cs="Times New Roman"/>
          <w:color w:val="212121"/>
          <w:bdr w:val="none" w:color="auto" w:sz="0" w:space="0" w:frame="1"/>
          <w:shd w:val="clear" w:color="auto" w:fill="FFFFFF"/>
        </w:rPr>
        <w:t>expense</w:t>
      </w:r>
      <w:r w:rsidRPr="00E26919" w:rsidR="003E633A">
        <w:rPr>
          <w:rStyle w:val="Emphasis"/>
          <w:rFonts w:ascii="Times New Roman" w:hAnsi="Times New Roman" w:cs="Times New Roman"/>
          <w:color w:val="212121"/>
          <w:bdr w:val="none" w:color="auto" w:sz="0" w:space="0" w:frame="1"/>
          <w:shd w:val="clear" w:color="auto" w:fill="FFFFFF"/>
        </w:rPr>
        <w:t>s) incurred by Owner to enforce this Agreement.</w:t>
      </w:r>
      <w:r>
        <w:rPr>
          <w:rStyle w:val="Emphasis"/>
          <w:rFonts w:ascii="Times New Roman" w:hAnsi="Times New Roman" w:cs="Times New Roman"/>
          <w:color w:val="212121"/>
          <w:bdr w:val="none" w:color="auto" w:sz="0" w:space="0" w:frame="1"/>
          <w:shd w:val="clear" w:color="auto" w:fill="FFFFFF"/>
        </w:rPr>
        <w:t xml:space="preserve">” </w:t>
      </w:r>
      <w:r w:rsidR="007B70DA">
        <w:rPr>
          <w:rStyle w:val="Emphasis"/>
          <w:rFonts w:ascii="Times New Roman" w:hAnsi="Times New Roman" w:cs="Times New Roman"/>
          <w:color w:val="212121"/>
          <w:bdr w:val="none" w:color="auto" w:sz="0" w:space="0" w:frame="1"/>
          <w:shd w:val="clear" w:color="auto" w:fill="FFFFFF"/>
        </w:rPr>
        <w:t xml:space="preserve"> </w:t>
      </w:r>
      <w:r w:rsidRPr="00574F0B" w:rsidR="008818D8">
        <w:rPr>
          <w:rFonts w:ascii="Times New Roman" w:hAnsi="Times New Roman" w:cs="Times New Roman"/>
        </w:rPr>
        <w:t xml:space="preserve">This is </w:t>
      </w:r>
      <w:r w:rsidR="000D2104">
        <w:rPr>
          <w:rFonts w:ascii="Times New Roman" w:hAnsi="Times New Roman" w:cs="Times New Roman"/>
        </w:rPr>
        <w:t>poor</w:t>
      </w:r>
      <w:r w:rsidRPr="00574F0B" w:rsidR="008818D8">
        <w:rPr>
          <w:rFonts w:ascii="Times New Roman" w:hAnsi="Times New Roman" w:cs="Times New Roman"/>
        </w:rPr>
        <w:t xml:space="preserve"> language for </w:t>
      </w:r>
      <w:r w:rsidRPr="00574F0B" w:rsidR="00821AF8">
        <w:rPr>
          <w:rFonts w:ascii="Times New Roman" w:hAnsi="Times New Roman" w:cs="Times New Roman"/>
        </w:rPr>
        <w:t>several</w:t>
      </w:r>
      <w:r w:rsidRPr="00574F0B" w:rsidR="008818D8">
        <w:rPr>
          <w:rFonts w:ascii="Times New Roman" w:hAnsi="Times New Roman" w:cs="Times New Roman"/>
        </w:rPr>
        <w:t xml:space="preserve"> reasons. </w:t>
      </w:r>
      <w:r w:rsidR="00AC77B4">
        <w:rPr>
          <w:rFonts w:ascii="Times New Roman" w:hAnsi="Times New Roman" w:cs="Times New Roman"/>
        </w:rPr>
        <w:t>It is not mutual</w:t>
      </w:r>
      <w:r w:rsidR="009A695C">
        <w:rPr>
          <w:rFonts w:ascii="Times New Roman" w:hAnsi="Times New Roman" w:cs="Times New Roman"/>
        </w:rPr>
        <w:t>;</w:t>
      </w:r>
      <w:r w:rsidR="00AC77B4">
        <w:rPr>
          <w:rFonts w:ascii="Times New Roman" w:hAnsi="Times New Roman" w:cs="Times New Roman"/>
        </w:rPr>
        <w:t xml:space="preserve"> it </w:t>
      </w:r>
      <w:r w:rsidR="00037596">
        <w:rPr>
          <w:rFonts w:ascii="Times New Roman" w:hAnsi="Times New Roman" w:cs="Times New Roman"/>
        </w:rPr>
        <w:t xml:space="preserve">only favors the owner. </w:t>
      </w:r>
      <w:r w:rsidRPr="00574F0B" w:rsidR="003439D2">
        <w:rPr>
          <w:rFonts w:ascii="Times New Roman" w:hAnsi="Times New Roman" w:cs="Times New Roman"/>
        </w:rPr>
        <w:t>It isn’t</w:t>
      </w:r>
      <w:r w:rsidRPr="00574F0B" w:rsidR="000D5C71">
        <w:rPr>
          <w:rFonts w:ascii="Times New Roman" w:hAnsi="Times New Roman" w:cs="Times New Roman"/>
        </w:rPr>
        <w:t xml:space="preserve"> tied to or</w:t>
      </w:r>
      <w:r w:rsidRPr="00574F0B" w:rsidR="003439D2">
        <w:rPr>
          <w:rFonts w:ascii="Times New Roman" w:hAnsi="Times New Roman" w:cs="Times New Roman"/>
        </w:rPr>
        <w:t xml:space="preserve"> limited to your negligence.</w:t>
      </w:r>
      <w:r w:rsidRPr="00574F0B" w:rsidR="000D5C71">
        <w:rPr>
          <w:rFonts w:ascii="Times New Roman" w:hAnsi="Times New Roman" w:cs="Times New Roman"/>
        </w:rPr>
        <w:t xml:space="preserve"> It also </w:t>
      </w:r>
      <w:r w:rsidR="00BA5D40">
        <w:rPr>
          <w:rFonts w:ascii="Times New Roman" w:hAnsi="Times New Roman" w:cs="Times New Roman"/>
        </w:rPr>
        <w:t>incentivizes</w:t>
      </w:r>
      <w:r w:rsidRPr="00574F0B" w:rsidR="000D5C71">
        <w:rPr>
          <w:rFonts w:ascii="Times New Roman" w:hAnsi="Times New Roman" w:cs="Times New Roman"/>
        </w:rPr>
        <w:t xml:space="preserve"> the Owner because you </w:t>
      </w:r>
      <w:r w:rsidRPr="00574F0B" w:rsidR="00871FF7">
        <w:rPr>
          <w:rFonts w:ascii="Times New Roman" w:hAnsi="Times New Roman" w:cs="Times New Roman"/>
        </w:rPr>
        <w:t>are agreeing to reimburse it for its costs in pursuing you.</w:t>
      </w:r>
      <w:r w:rsidRPr="00574F0B" w:rsidR="00821AF8">
        <w:rPr>
          <w:rFonts w:ascii="Times New Roman" w:hAnsi="Times New Roman" w:cs="Times New Roman"/>
        </w:rPr>
        <w:t xml:space="preserve"> </w:t>
      </w:r>
      <w:r w:rsidRPr="00574F0B" w:rsidR="0011675E">
        <w:rPr>
          <w:rFonts w:ascii="Times New Roman" w:hAnsi="Times New Roman" w:cs="Times New Roman"/>
        </w:rPr>
        <w:t>Let’s</w:t>
      </w:r>
      <w:r w:rsidRPr="00574F0B" w:rsidR="00821AF8">
        <w:rPr>
          <w:rFonts w:ascii="Times New Roman" w:hAnsi="Times New Roman" w:cs="Times New Roman"/>
        </w:rPr>
        <w:t xml:space="preserve"> look at another </w:t>
      </w:r>
      <w:r w:rsidRPr="00574F0B" w:rsidR="00FC25F3">
        <w:rPr>
          <w:rFonts w:ascii="Times New Roman" w:hAnsi="Times New Roman" w:cs="Times New Roman"/>
        </w:rPr>
        <w:t xml:space="preserve">couple of </w:t>
      </w:r>
      <w:r w:rsidRPr="00574F0B" w:rsidR="00821AF8">
        <w:rPr>
          <w:rFonts w:ascii="Times New Roman" w:hAnsi="Times New Roman" w:cs="Times New Roman"/>
        </w:rPr>
        <w:t>example</w:t>
      </w:r>
      <w:r w:rsidRPr="00574F0B" w:rsidR="00FC25F3">
        <w:rPr>
          <w:rFonts w:ascii="Times New Roman" w:hAnsi="Times New Roman" w:cs="Times New Roman"/>
        </w:rPr>
        <w:t>s</w:t>
      </w:r>
      <w:r w:rsidRPr="00574F0B" w:rsidR="00821AF8">
        <w:rPr>
          <w:rFonts w:ascii="Times New Roman" w:hAnsi="Times New Roman" w:cs="Times New Roman"/>
        </w:rPr>
        <w:t>:</w:t>
      </w:r>
    </w:p>
    <w:p w:rsidRPr="000D1180" w:rsidR="00574F0B" w:rsidP="0007349A" w:rsidRDefault="00FB6679" w14:paraId="3A915EC0" w14:textId="57F95CA7">
      <w:pPr>
        <w:rPr>
          <w:rFonts w:ascii="Times New Roman" w:hAnsi="Times New Roman" w:cs="Times New Roman"/>
          <w:i/>
          <w:iCs/>
          <w:color w:val="001D35"/>
          <w:shd w:val="clear" w:color="auto" w:fill="F3F5F6"/>
        </w:rPr>
      </w:pPr>
      <w:r>
        <w:rPr>
          <w:rFonts w:ascii="Times New Roman" w:hAnsi="Times New Roman" w:cs="Times New Roman"/>
          <w:i/>
          <w:iCs/>
          <w:color w:val="001D35"/>
          <w:shd w:val="clear" w:color="auto" w:fill="F3F5F6"/>
        </w:rPr>
        <w:t>“</w:t>
      </w:r>
      <w:r w:rsidR="00BA5D40">
        <w:rPr>
          <w:rFonts w:ascii="Times New Roman" w:hAnsi="Times New Roman" w:cs="Times New Roman"/>
          <w:i/>
          <w:iCs/>
          <w:color w:val="001D35"/>
          <w:shd w:val="clear" w:color="auto" w:fill="F3F5F6"/>
        </w:rPr>
        <w:t>If</w:t>
      </w:r>
      <w:r w:rsidRPr="000D1180" w:rsidR="0077113D">
        <w:rPr>
          <w:rFonts w:ascii="Times New Roman" w:hAnsi="Times New Roman" w:cs="Times New Roman"/>
          <w:i/>
          <w:iCs/>
          <w:color w:val="001D35"/>
          <w:shd w:val="clear" w:color="auto" w:fill="F3F5F6"/>
        </w:rPr>
        <w:t xml:space="preserve"> the Owner is the prevailing party in any action, litigation, or proceeding arising out of or related to this Agreement</w:t>
      </w:r>
      <w:r w:rsidR="00BA5D40">
        <w:rPr>
          <w:rFonts w:ascii="Times New Roman" w:hAnsi="Times New Roman" w:cs="Times New Roman"/>
          <w:i/>
          <w:iCs/>
          <w:color w:val="001D35"/>
          <w:shd w:val="clear" w:color="auto" w:fill="F3F5F6"/>
        </w:rPr>
        <w:t>,</w:t>
      </w:r>
      <w:r w:rsidRPr="000D1180" w:rsidR="0077113D">
        <w:rPr>
          <w:rFonts w:ascii="Times New Roman" w:hAnsi="Times New Roman" w:cs="Times New Roman"/>
          <w:i/>
          <w:iCs/>
          <w:color w:val="001D35"/>
          <w:shd w:val="clear" w:color="auto" w:fill="F3F5F6"/>
        </w:rPr>
        <w:t xml:space="preserve"> the </w:t>
      </w:r>
      <w:r w:rsidRPr="000D1180" w:rsidR="00574F0B">
        <w:rPr>
          <w:rFonts w:ascii="Times New Roman" w:hAnsi="Times New Roman" w:cs="Times New Roman"/>
          <w:i/>
          <w:iCs/>
          <w:color w:val="001D35"/>
          <w:shd w:val="clear" w:color="auto" w:fill="F3F5F6"/>
        </w:rPr>
        <w:t>Engineer</w:t>
      </w:r>
      <w:r w:rsidRPr="000D1180" w:rsidR="0077113D">
        <w:rPr>
          <w:rFonts w:ascii="Times New Roman" w:hAnsi="Times New Roman" w:cs="Times New Roman"/>
          <w:i/>
          <w:iCs/>
          <w:color w:val="001D35"/>
          <w:shd w:val="clear" w:color="auto" w:fill="F3F5F6"/>
        </w:rPr>
        <w:t xml:space="preserve"> shall pay the Owner's attorneys' fees, expert witness fees, and costs</w:t>
      </w:r>
      <w:r w:rsidRPr="000D1180" w:rsidR="00574F0B">
        <w:rPr>
          <w:rFonts w:ascii="Times New Roman" w:hAnsi="Times New Roman" w:cs="Times New Roman"/>
          <w:i/>
          <w:iCs/>
          <w:color w:val="001D35"/>
          <w:shd w:val="clear" w:color="auto" w:fill="F3F5F6"/>
        </w:rPr>
        <w:t>.</w:t>
      </w:r>
      <w:r>
        <w:rPr>
          <w:rFonts w:ascii="Times New Roman" w:hAnsi="Times New Roman" w:cs="Times New Roman"/>
          <w:i/>
          <w:iCs/>
          <w:color w:val="001D35"/>
          <w:shd w:val="clear" w:color="auto" w:fill="F3F5F6"/>
        </w:rPr>
        <w:t>”</w:t>
      </w:r>
      <w:r w:rsidRPr="000D1180" w:rsidR="00574F0B">
        <w:rPr>
          <w:rFonts w:ascii="Times New Roman" w:hAnsi="Times New Roman" w:cs="Times New Roman"/>
          <w:i/>
          <w:iCs/>
          <w:color w:val="001D35"/>
          <w:shd w:val="clear" w:color="auto" w:fill="F3F5F6"/>
        </w:rPr>
        <w:t xml:space="preserve"> </w:t>
      </w:r>
    </w:p>
    <w:p w:rsidRPr="00574F0B" w:rsidR="0077113D" w:rsidP="0007349A" w:rsidRDefault="00574F0B" w14:paraId="50F7B02A" w14:textId="75ECBB9F">
      <w:pPr>
        <w:rPr>
          <w:rFonts w:ascii="Times New Roman" w:hAnsi="Times New Roman" w:cs="Times New Roman"/>
          <w:color w:val="001D35"/>
          <w:shd w:val="clear" w:color="auto" w:fill="F3F5F6"/>
        </w:rPr>
      </w:pPr>
      <w:r w:rsidRPr="00574F0B">
        <w:rPr>
          <w:rFonts w:ascii="Times New Roman" w:hAnsi="Times New Roman" w:cs="Times New Roman"/>
          <w:color w:val="001D35"/>
          <w:shd w:val="clear" w:color="auto" w:fill="F3F5F6"/>
        </w:rPr>
        <w:t>Or</w:t>
      </w:r>
    </w:p>
    <w:p w:rsidRPr="00254D4C" w:rsidR="00254D4C" w:rsidP="008143A0" w:rsidRDefault="00FB6679" w14:paraId="204B128F" w14:textId="3FBAFA2E">
      <w:pPr>
        <w:rPr>
          <w:rFonts w:ascii="Times New Roman" w:hAnsi="Times New Roman" w:eastAsia="Times New Roman" w:cs="Times New Roman"/>
          <w:color w:val="000000"/>
          <w:kern w:val="0"/>
          <w14:ligatures w14:val="none"/>
        </w:rPr>
      </w:pPr>
      <w:r>
        <w:rPr>
          <w:rFonts w:ascii="Times New Roman" w:hAnsi="Times New Roman" w:cs="Times New Roman"/>
          <w:i/>
          <w:iCs/>
          <w:color w:val="001D35"/>
          <w:shd w:val="clear" w:color="auto" w:fill="F3F5F6"/>
        </w:rPr>
        <w:t>“</w:t>
      </w:r>
      <w:r w:rsidRPr="000D1180" w:rsidR="00574F0B">
        <w:rPr>
          <w:rFonts w:ascii="Times New Roman" w:hAnsi="Times New Roman" w:cs="Times New Roman"/>
          <w:i/>
          <w:iCs/>
          <w:color w:val="001D35"/>
          <w:shd w:val="clear" w:color="auto" w:fill="F3F5F6"/>
        </w:rPr>
        <w:t>In the event of any litigation arising under this Agreement, the unsuccessful party shall pay the reasonable attorneys' fees of the prevailing party.</w:t>
      </w:r>
      <w:r w:rsidR="00943092">
        <w:rPr>
          <w:rFonts w:ascii="Times New Roman" w:hAnsi="Times New Roman" w:cs="Times New Roman"/>
          <w:i/>
          <w:iCs/>
          <w:color w:val="001D35"/>
          <w:shd w:val="clear" w:color="auto" w:fill="F3F5F6"/>
        </w:rPr>
        <w:t>”</w:t>
      </w:r>
    </w:p>
    <w:p w:rsidRPr="00E92E97" w:rsidR="00254D4C" w:rsidP="00826557" w:rsidRDefault="00BE7F33" w14:paraId="3EB2B6C9" w14:textId="555CE7CC">
      <w:pPr>
        <w:shd w:val="clear" w:color="auto" w:fill="FFFFFF"/>
        <w:spacing w:after="0" w:line="240" w:lineRule="auto"/>
        <w:ind w:firstLine="600"/>
        <w:textAlignment w:val="baseline"/>
        <w:rPr>
          <w:rFonts w:ascii="Times New Roman" w:hAnsi="Times New Roman" w:eastAsia="Times New Roman" w:cs="Times New Roman"/>
          <w:color w:val="000000"/>
          <w:kern w:val="0"/>
          <w14:ligatures w14:val="none"/>
        </w:rPr>
      </w:pPr>
      <w:r>
        <w:rPr>
          <w:rFonts w:ascii="Times New Roman" w:hAnsi="Times New Roman" w:eastAsia="Times New Roman" w:cs="Times New Roman"/>
          <w:color w:val="000000"/>
          <w:kern w:val="0"/>
          <w14:ligatures w14:val="none"/>
        </w:rPr>
        <w:t>The</w:t>
      </w:r>
      <w:r w:rsidRPr="00254D4C" w:rsidR="00254D4C">
        <w:rPr>
          <w:rFonts w:ascii="Times New Roman" w:hAnsi="Times New Roman" w:eastAsia="Times New Roman" w:cs="Times New Roman"/>
          <w:color w:val="000000"/>
          <w:kern w:val="0"/>
          <w14:ligatures w14:val="none"/>
        </w:rPr>
        <w:t xml:space="preserve"> term “prevailing party” is undefined and ambiguous in its meaning.  Courts can interpret it to mean anything they deem appropriate. It is even possible for a party to recover less than 10 percent of its claim and be awarded 100 percent of its attorneys</w:t>
      </w:r>
      <w:r>
        <w:rPr>
          <w:rFonts w:ascii="Times New Roman" w:hAnsi="Times New Roman" w:eastAsia="Times New Roman" w:cs="Times New Roman"/>
          <w:color w:val="000000"/>
          <w:kern w:val="0"/>
          <w14:ligatures w14:val="none"/>
        </w:rPr>
        <w:t>’</w:t>
      </w:r>
      <w:r w:rsidRPr="00254D4C" w:rsidR="00254D4C">
        <w:rPr>
          <w:rFonts w:ascii="Times New Roman" w:hAnsi="Times New Roman" w:eastAsia="Times New Roman" w:cs="Times New Roman"/>
          <w:color w:val="000000"/>
          <w:kern w:val="0"/>
          <w14:ligatures w14:val="none"/>
        </w:rPr>
        <w:t xml:space="preserve"> fees as the </w:t>
      </w:r>
      <w:r w:rsidR="007F7B4E">
        <w:rPr>
          <w:rFonts w:ascii="Times New Roman" w:hAnsi="Times New Roman" w:eastAsia="Times New Roman" w:cs="Times New Roman"/>
          <w:color w:val="000000"/>
          <w:kern w:val="0"/>
          <w14:ligatures w14:val="none"/>
        </w:rPr>
        <w:t>P</w:t>
      </w:r>
      <w:r w:rsidRPr="00254D4C" w:rsidR="00254D4C">
        <w:rPr>
          <w:rFonts w:ascii="Times New Roman" w:hAnsi="Times New Roman" w:eastAsia="Times New Roman" w:cs="Times New Roman"/>
          <w:color w:val="000000"/>
          <w:kern w:val="0"/>
          <w14:ligatures w14:val="none"/>
        </w:rPr>
        <w:t xml:space="preserve">revailing </w:t>
      </w:r>
      <w:r w:rsidR="007F7B4E">
        <w:rPr>
          <w:rFonts w:ascii="Times New Roman" w:hAnsi="Times New Roman" w:eastAsia="Times New Roman" w:cs="Times New Roman"/>
          <w:color w:val="000000"/>
          <w:kern w:val="0"/>
          <w14:ligatures w14:val="none"/>
        </w:rPr>
        <w:t>P</w:t>
      </w:r>
      <w:r w:rsidRPr="00254D4C" w:rsidR="00254D4C">
        <w:rPr>
          <w:rFonts w:ascii="Times New Roman" w:hAnsi="Times New Roman" w:eastAsia="Times New Roman" w:cs="Times New Roman"/>
          <w:color w:val="000000"/>
          <w:kern w:val="0"/>
          <w14:ligatures w14:val="none"/>
        </w:rPr>
        <w:t>arty.”</w:t>
      </w:r>
      <w:r w:rsidR="00FC3121">
        <w:rPr>
          <w:rFonts w:ascii="Times New Roman" w:hAnsi="Times New Roman" w:eastAsia="Times New Roman" w:cs="Times New Roman"/>
          <w:color w:val="000000"/>
          <w:kern w:val="0"/>
          <w14:ligatures w14:val="none"/>
        </w:rPr>
        <w:t xml:space="preserve"> </w:t>
      </w:r>
      <w:r w:rsidRPr="00254D4C" w:rsidR="00254D4C">
        <w:rPr>
          <w:rFonts w:ascii="Times New Roman" w:hAnsi="Times New Roman" w:eastAsia="Times New Roman" w:cs="Times New Roman"/>
          <w:color w:val="000000"/>
          <w:kern w:val="0"/>
          <w14:ligatures w14:val="none"/>
        </w:rPr>
        <w:t xml:space="preserve">Since the </w:t>
      </w:r>
      <w:r w:rsidR="00DE5CB7">
        <w:rPr>
          <w:rFonts w:ascii="Times New Roman" w:hAnsi="Times New Roman" w:eastAsia="Times New Roman" w:cs="Times New Roman"/>
          <w:color w:val="000000"/>
          <w:kern w:val="0"/>
          <w14:ligatures w14:val="none"/>
        </w:rPr>
        <w:t>P</w:t>
      </w:r>
      <w:r w:rsidRPr="00254D4C" w:rsidR="00254D4C">
        <w:rPr>
          <w:rFonts w:ascii="Times New Roman" w:hAnsi="Times New Roman" w:eastAsia="Times New Roman" w:cs="Times New Roman"/>
          <w:color w:val="000000"/>
          <w:kern w:val="0"/>
          <w14:ligatures w14:val="none"/>
        </w:rPr>
        <w:t xml:space="preserve">revailing </w:t>
      </w:r>
      <w:r w:rsidR="00943092">
        <w:rPr>
          <w:rFonts w:ascii="Times New Roman" w:hAnsi="Times New Roman" w:eastAsia="Times New Roman" w:cs="Times New Roman"/>
          <w:color w:val="000000"/>
          <w:kern w:val="0"/>
          <w14:ligatures w14:val="none"/>
        </w:rPr>
        <w:t>P</w:t>
      </w:r>
      <w:r w:rsidR="00EA48B5">
        <w:rPr>
          <w:rFonts w:ascii="Times New Roman" w:hAnsi="Times New Roman" w:eastAsia="Times New Roman" w:cs="Times New Roman"/>
          <w:color w:val="000000"/>
          <w:kern w:val="0"/>
          <w14:ligatures w14:val="none"/>
        </w:rPr>
        <w:t>arty</w:t>
      </w:r>
      <w:r w:rsidRPr="00254D4C" w:rsidR="00254D4C">
        <w:rPr>
          <w:rFonts w:ascii="Times New Roman" w:hAnsi="Times New Roman" w:eastAsia="Times New Roman" w:cs="Times New Roman"/>
          <w:color w:val="000000"/>
          <w:kern w:val="0"/>
          <w14:ligatures w14:val="none"/>
        </w:rPr>
        <w:t xml:space="preserve"> clause may create uninsurable losses, the preferred course of action is to strike this clause from </w:t>
      </w:r>
      <w:r w:rsidR="00943092">
        <w:rPr>
          <w:rFonts w:ascii="Times New Roman" w:hAnsi="Times New Roman" w:eastAsia="Times New Roman" w:cs="Times New Roman"/>
          <w:color w:val="000000"/>
          <w:kern w:val="0"/>
          <w14:ligatures w14:val="none"/>
        </w:rPr>
        <w:t>your</w:t>
      </w:r>
      <w:r w:rsidRPr="00254D4C" w:rsidR="00254D4C">
        <w:rPr>
          <w:rFonts w:ascii="Times New Roman" w:hAnsi="Times New Roman" w:eastAsia="Times New Roman" w:cs="Times New Roman"/>
          <w:color w:val="000000"/>
          <w:kern w:val="0"/>
          <w14:ligatures w14:val="none"/>
        </w:rPr>
        <w:t xml:space="preserve"> contracts.  </w:t>
      </w:r>
      <w:r w:rsidR="00EA48B5">
        <w:rPr>
          <w:rFonts w:ascii="Times New Roman" w:hAnsi="Times New Roman" w:eastAsia="Times New Roman" w:cs="Times New Roman"/>
          <w:color w:val="000000"/>
          <w:kern w:val="0"/>
          <w14:ligatures w14:val="none"/>
        </w:rPr>
        <w:t xml:space="preserve">However, if the </w:t>
      </w:r>
      <w:r w:rsidR="005C2D2C">
        <w:rPr>
          <w:rFonts w:ascii="Times New Roman" w:hAnsi="Times New Roman" w:eastAsia="Times New Roman" w:cs="Times New Roman"/>
          <w:color w:val="000000"/>
          <w:kern w:val="0"/>
          <w14:ligatures w14:val="none"/>
        </w:rPr>
        <w:t>owner insists</w:t>
      </w:r>
      <w:r w:rsidR="00D4031A">
        <w:rPr>
          <w:rFonts w:ascii="Times New Roman" w:hAnsi="Times New Roman" w:eastAsia="Times New Roman" w:cs="Times New Roman"/>
          <w:color w:val="000000"/>
          <w:kern w:val="0"/>
          <w14:ligatures w14:val="none"/>
        </w:rPr>
        <w:t xml:space="preserve">, </w:t>
      </w:r>
      <w:r w:rsidRPr="00254D4C" w:rsidR="00254D4C">
        <w:rPr>
          <w:rFonts w:ascii="Times New Roman" w:hAnsi="Times New Roman" w:eastAsia="Times New Roman" w:cs="Times New Roman"/>
          <w:color w:val="000000"/>
          <w:kern w:val="0"/>
          <w14:ligatures w14:val="none"/>
        </w:rPr>
        <w:t xml:space="preserve">the term “prevailing party” needs to be carefully defined. </w:t>
      </w:r>
      <w:r w:rsidR="00826557">
        <w:rPr>
          <w:rFonts w:ascii="Times New Roman" w:hAnsi="Times New Roman" w:eastAsia="Times New Roman" w:cs="Times New Roman"/>
          <w:color w:val="000000"/>
          <w:kern w:val="0"/>
          <w14:ligatures w14:val="none"/>
        </w:rPr>
        <w:t>N</w:t>
      </w:r>
      <w:r w:rsidRPr="00254D4C" w:rsidR="00254D4C">
        <w:rPr>
          <w:rFonts w:ascii="Times New Roman" w:hAnsi="Times New Roman" w:eastAsia="Times New Roman" w:cs="Times New Roman"/>
          <w:color w:val="000000"/>
          <w:kern w:val="0"/>
          <w14:ligatures w14:val="none"/>
        </w:rPr>
        <w:t xml:space="preserve">ever agree to a </w:t>
      </w:r>
      <w:r w:rsidR="00BA250D">
        <w:rPr>
          <w:rFonts w:ascii="Times New Roman" w:hAnsi="Times New Roman" w:eastAsia="Times New Roman" w:cs="Times New Roman"/>
          <w:color w:val="000000"/>
          <w:kern w:val="0"/>
          <w14:ligatures w14:val="none"/>
        </w:rPr>
        <w:t>P</w:t>
      </w:r>
      <w:r w:rsidRPr="00254D4C" w:rsidR="00254D4C">
        <w:rPr>
          <w:rFonts w:ascii="Times New Roman" w:hAnsi="Times New Roman" w:eastAsia="Times New Roman" w:cs="Times New Roman"/>
          <w:color w:val="000000"/>
          <w:kern w:val="0"/>
          <w14:ligatures w14:val="none"/>
        </w:rPr>
        <w:t xml:space="preserve">revailing </w:t>
      </w:r>
      <w:r w:rsidR="00BA250D">
        <w:rPr>
          <w:rFonts w:ascii="Times New Roman" w:hAnsi="Times New Roman" w:eastAsia="Times New Roman" w:cs="Times New Roman"/>
          <w:color w:val="000000"/>
          <w:kern w:val="0"/>
          <w14:ligatures w14:val="none"/>
        </w:rPr>
        <w:t>P</w:t>
      </w:r>
      <w:r w:rsidRPr="00254D4C" w:rsidR="00254D4C">
        <w:rPr>
          <w:rFonts w:ascii="Times New Roman" w:hAnsi="Times New Roman" w:eastAsia="Times New Roman" w:cs="Times New Roman"/>
          <w:color w:val="000000"/>
          <w:kern w:val="0"/>
          <w14:ligatures w14:val="none"/>
        </w:rPr>
        <w:t>art</w:t>
      </w:r>
      <w:r w:rsidR="00EA48B5">
        <w:rPr>
          <w:rFonts w:ascii="Times New Roman" w:hAnsi="Times New Roman" w:eastAsia="Times New Roman" w:cs="Times New Roman"/>
          <w:color w:val="000000"/>
          <w:kern w:val="0"/>
          <w14:ligatures w14:val="none"/>
        </w:rPr>
        <w:t>y</w:t>
      </w:r>
      <w:r w:rsidR="003D013C">
        <w:rPr>
          <w:rFonts w:ascii="Times New Roman" w:hAnsi="Times New Roman" w:eastAsia="Times New Roman" w:cs="Times New Roman"/>
          <w:color w:val="000000"/>
          <w:kern w:val="0"/>
          <w14:ligatures w14:val="none"/>
        </w:rPr>
        <w:t xml:space="preserve"> clause</w:t>
      </w:r>
      <w:r w:rsidRPr="00254D4C" w:rsidR="00254D4C">
        <w:rPr>
          <w:rFonts w:ascii="Times New Roman" w:hAnsi="Times New Roman" w:eastAsia="Times New Roman" w:cs="Times New Roman"/>
          <w:color w:val="000000"/>
          <w:kern w:val="0"/>
          <w14:ligatures w14:val="none"/>
        </w:rPr>
        <w:t xml:space="preserve"> unless you add a definition such as the one</w:t>
      </w:r>
      <w:r w:rsidR="00212187">
        <w:rPr>
          <w:rFonts w:ascii="Times New Roman" w:hAnsi="Times New Roman" w:eastAsia="Times New Roman" w:cs="Times New Roman"/>
          <w:color w:val="000000"/>
          <w:kern w:val="0"/>
          <w14:ligatures w14:val="none"/>
        </w:rPr>
        <w:t>s</w:t>
      </w:r>
      <w:r w:rsidRPr="00254D4C" w:rsidR="00254D4C">
        <w:rPr>
          <w:rFonts w:ascii="Times New Roman" w:hAnsi="Times New Roman" w:eastAsia="Times New Roman" w:cs="Times New Roman"/>
          <w:color w:val="000000"/>
          <w:kern w:val="0"/>
          <w14:ligatures w14:val="none"/>
        </w:rPr>
        <w:t xml:space="preserve"> below.  Note that there are numerous ways to draft a definition</w:t>
      </w:r>
      <w:r w:rsidR="00EA48B5">
        <w:rPr>
          <w:rFonts w:ascii="Times New Roman" w:hAnsi="Times New Roman" w:eastAsia="Times New Roman" w:cs="Times New Roman"/>
          <w:color w:val="000000"/>
          <w:kern w:val="0"/>
          <w14:ligatures w14:val="none"/>
        </w:rPr>
        <w:t>,</w:t>
      </w:r>
      <w:r w:rsidRPr="00254D4C" w:rsidR="00254D4C">
        <w:rPr>
          <w:rFonts w:ascii="Times New Roman" w:hAnsi="Times New Roman" w:eastAsia="Times New Roman" w:cs="Times New Roman"/>
          <w:color w:val="000000"/>
          <w:kern w:val="0"/>
          <w14:ligatures w14:val="none"/>
        </w:rPr>
        <w:t xml:space="preserve"> and different percentages can be used at the option of the parties.  The important thing is that there be some definition of what this </w:t>
      </w:r>
      <w:r w:rsidR="00826557">
        <w:rPr>
          <w:rFonts w:ascii="Times New Roman" w:hAnsi="Times New Roman" w:eastAsia="Times New Roman" w:cs="Times New Roman"/>
          <w:color w:val="000000"/>
          <w:kern w:val="0"/>
          <w14:ligatures w14:val="none"/>
        </w:rPr>
        <w:t>critical</w:t>
      </w:r>
      <w:r w:rsidRPr="00254D4C" w:rsidR="00254D4C">
        <w:rPr>
          <w:rFonts w:ascii="Times New Roman" w:hAnsi="Times New Roman" w:eastAsia="Times New Roman" w:cs="Times New Roman"/>
          <w:color w:val="000000"/>
          <w:kern w:val="0"/>
          <w14:ligatures w14:val="none"/>
        </w:rPr>
        <w:t xml:space="preserve"> term means.</w:t>
      </w:r>
      <w:r w:rsidR="00865FF3">
        <w:rPr>
          <w:rFonts w:ascii="Times New Roman" w:hAnsi="Times New Roman" w:eastAsia="Times New Roman" w:cs="Times New Roman"/>
          <w:color w:val="000000"/>
          <w:kern w:val="0"/>
          <w14:ligatures w14:val="none"/>
        </w:rPr>
        <w:t xml:space="preserve"> One example is:</w:t>
      </w:r>
    </w:p>
    <w:p w:rsidRPr="00254D4C" w:rsidR="00254D4C" w:rsidP="00254D4C" w:rsidRDefault="00254D4C" w14:paraId="4F1E22BE" w14:textId="77777777">
      <w:pPr>
        <w:shd w:val="clear" w:color="auto" w:fill="FFFFFF"/>
        <w:spacing w:after="0" w:line="240" w:lineRule="auto"/>
        <w:ind w:firstLine="600"/>
        <w:textAlignment w:val="baseline"/>
        <w:rPr>
          <w:rFonts w:ascii="Times New Roman" w:hAnsi="Times New Roman" w:eastAsia="Times New Roman" w:cs="Times New Roman"/>
          <w:color w:val="000000"/>
          <w:kern w:val="0"/>
          <w14:ligatures w14:val="none"/>
        </w:rPr>
      </w:pPr>
    </w:p>
    <w:p w:rsidRPr="00D4031A" w:rsidR="00865FF3" w:rsidP="00C52FCB" w:rsidRDefault="00254D4C" w14:paraId="759E775B" w14:textId="6E08498D">
      <w:pPr>
        <w:shd w:val="clear" w:color="auto" w:fill="FFFFFF"/>
        <w:spacing w:after="0" w:line="240" w:lineRule="auto"/>
        <w:textAlignment w:val="baseline"/>
        <w:rPr>
          <w:rFonts w:ascii="Times New Roman" w:hAnsi="Times New Roman" w:eastAsia="Times New Roman" w:cs="Times New Roman"/>
          <w:i/>
          <w:iCs/>
          <w:color w:val="000000"/>
          <w:kern w:val="0"/>
          <w:bdr w:val="none" w:color="auto" w:sz="0" w:space="0" w:frame="1"/>
          <w14:ligatures w14:val="none"/>
        </w:rPr>
      </w:pPr>
      <w:r w:rsidRPr="00254D4C">
        <w:rPr>
          <w:rFonts w:ascii="Times New Roman" w:hAnsi="Times New Roman" w:eastAsia="Times New Roman" w:cs="Times New Roman"/>
          <w:i/>
          <w:iCs/>
          <w:color w:val="000000"/>
          <w:kern w:val="0"/>
          <w:bdr w:val="none" w:color="auto" w:sz="0" w:space="0" w:frame="1"/>
          <w14:ligatures w14:val="none"/>
        </w:rPr>
        <w:t xml:space="preserve">“Prevailing </w:t>
      </w:r>
      <w:r w:rsidR="00212187">
        <w:rPr>
          <w:rFonts w:ascii="Times New Roman" w:hAnsi="Times New Roman" w:eastAsia="Times New Roman" w:cs="Times New Roman"/>
          <w:i/>
          <w:iCs/>
          <w:color w:val="000000"/>
          <w:kern w:val="0"/>
          <w:bdr w:val="none" w:color="auto" w:sz="0" w:space="0" w:frame="1"/>
          <w14:ligatures w14:val="none"/>
        </w:rPr>
        <w:t>P</w:t>
      </w:r>
      <w:r w:rsidRPr="00254D4C">
        <w:rPr>
          <w:rFonts w:ascii="Times New Roman" w:hAnsi="Times New Roman" w:eastAsia="Times New Roman" w:cs="Times New Roman"/>
          <w:i/>
          <w:iCs/>
          <w:color w:val="000000"/>
          <w:kern w:val="0"/>
          <w:bdr w:val="none" w:color="auto" w:sz="0" w:space="0" w:frame="1"/>
          <w14:ligatures w14:val="none"/>
        </w:rPr>
        <w:t xml:space="preserve">arty” is the party </w:t>
      </w:r>
      <w:r w:rsidR="00212187">
        <w:rPr>
          <w:rFonts w:ascii="Times New Roman" w:hAnsi="Times New Roman" w:eastAsia="Times New Roman" w:cs="Times New Roman"/>
          <w:i/>
          <w:iCs/>
          <w:color w:val="000000"/>
          <w:kern w:val="0"/>
          <w:bdr w:val="none" w:color="auto" w:sz="0" w:space="0" w:frame="1"/>
          <w14:ligatures w14:val="none"/>
        </w:rPr>
        <w:t>that</w:t>
      </w:r>
      <w:r w:rsidRPr="00254D4C">
        <w:rPr>
          <w:rFonts w:ascii="Times New Roman" w:hAnsi="Times New Roman" w:eastAsia="Times New Roman" w:cs="Times New Roman"/>
          <w:i/>
          <w:iCs/>
          <w:color w:val="000000"/>
          <w:kern w:val="0"/>
          <w:bdr w:val="none" w:color="auto" w:sz="0" w:space="0" w:frame="1"/>
          <w14:ligatures w14:val="none"/>
        </w:rPr>
        <w:t xml:space="preserve"> recovers at least 67% of its total claims in the action or </w:t>
      </w:r>
      <w:r w:rsidR="00212187">
        <w:rPr>
          <w:rFonts w:ascii="Times New Roman" w:hAnsi="Times New Roman" w:eastAsia="Times New Roman" w:cs="Times New Roman"/>
          <w:i/>
          <w:iCs/>
          <w:color w:val="000000"/>
          <w:kern w:val="0"/>
          <w:bdr w:val="none" w:color="auto" w:sz="0" w:space="0" w:frame="1"/>
          <w14:ligatures w14:val="none"/>
        </w:rPr>
        <w:t>that</w:t>
      </w:r>
      <w:r w:rsidRPr="00254D4C">
        <w:rPr>
          <w:rFonts w:ascii="Times New Roman" w:hAnsi="Times New Roman" w:eastAsia="Times New Roman" w:cs="Times New Roman"/>
          <w:i/>
          <w:iCs/>
          <w:color w:val="000000"/>
          <w:kern w:val="0"/>
          <w:bdr w:val="none" w:color="auto" w:sz="0" w:space="0" w:frame="1"/>
          <w14:ligatures w14:val="none"/>
        </w:rPr>
        <w:t xml:space="preserve"> is required to pay no more than 32% of the other party’s total claims in the action when considered in the totality of claims and counterclaims, if any. In claims for monetary damages, the total amount of recoverable attorney’s fees and costs shall not exceed the net monetary award of the Prevailing Party.</w:t>
      </w:r>
    </w:p>
    <w:p w:rsidRPr="00E92E97" w:rsidR="00CB5128" w:rsidP="00254D4C" w:rsidRDefault="00CB5128" w14:paraId="60E73000" w14:textId="77777777">
      <w:pPr>
        <w:shd w:val="clear" w:color="auto" w:fill="FFFFFF"/>
        <w:spacing w:after="0" w:line="240" w:lineRule="auto"/>
        <w:ind w:firstLine="600"/>
        <w:textAlignment w:val="baseline"/>
        <w:rPr>
          <w:rFonts w:ascii="Times New Roman" w:hAnsi="Times New Roman" w:eastAsia="Times New Roman" w:cs="Times New Roman"/>
          <w:color w:val="000000"/>
          <w:kern w:val="0"/>
          <w:bdr w:val="none" w:color="auto" w:sz="0" w:space="0" w:frame="1"/>
          <w14:ligatures w14:val="none"/>
        </w:rPr>
      </w:pPr>
    </w:p>
    <w:p w:rsidRPr="00D4031A" w:rsidR="00865FF3" w:rsidP="00CB5128" w:rsidRDefault="00CB5128" w14:paraId="26518595" w14:textId="77777777">
      <w:pPr>
        <w:rPr>
          <w:rFonts w:ascii="Times New Roman" w:hAnsi="Times New Roman" w:eastAsia="Times New Roman" w:cs="Times New Roman"/>
          <w:i/>
          <w:iCs/>
          <w:color w:val="000000"/>
          <w:kern w:val="0"/>
          <w:bdr w:val="none" w:color="auto" w:sz="0" w:space="0" w:frame="1"/>
          <w14:ligatures w14:val="none"/>
        </w:rPr>
      </w:pPr>
      <w:r w:rsidRPr="00D4031A">
        <w:rPr>
          <w:rFonts w:ascii="Times New Roman" w:hAnsi="Times New Roman" w:eastAsia="Times New Roman" w:cs="Times New Roman"/>
          <w:i/>
          <w:iCs/>
          <w:color w:val="000000"/>
          <w:kern w:val="0"/>
          <w:bdr w:val="none" w:color="auto" w:sz="0" w:space="0" w:frame="1"/>
          <w14:ligatures w14:val="none"/>
        </w:rPr>
        <w:t xml:space="preserve">Another example: </w:t>
      </w:r>
    </w:p>
    <w:p w:rsidR="00CB5128" w:rsidP="00CB5128" w:rsidRDefault="00212187" w14:paraId="6AE3A5D1" w14:textId="683571FF">
      <w:pPr>
        <w:rPr>
          <w:rStyle w:val="Emphasis"/>
          <w:rFonts w:ascii="Times New Roman" w:hAnsi="Times New Roman" w:cs="Times New Roman"/>
          <w:i w:val="0"/>
          <w:iCs w:val="0"/>
          <w:color w:val="000000"/>
          <w:shd w:val="clear" w:color="auto" w:fill="FFFFFF"/>
        </w:rPr>
      </w:pPr>
      <w:r>
        <w:rPr>
          <w:rFonts w:ascii="Times New Roman" w:hAnsi="Times New Roman" w:eastAsia="Times New Roman" w:cs="Times New Roman"/>
          <w:i/>
          <w:iCs/>
          <w:color w:val="000000"/>
          <w:kern w:val="0"/>
          <w:bdr w:val="none" w:color="auto" w:sz="0" w:space="0" w:frame="1"/>
          <w14:ligatures w14:val="none"/>
        </w:rPr>
        <w:t>“</w:t>
      </w:r>
      <w:r w:rsidRPr="00D4031A" w:rsidR="00CB5128">
        <w:rPr>
          <w:rFonts w:ascii="Times New Roman" w:hAnsi="Times New Roman" w:cs="Times New Roman"/>
          <w:i/>
          <w:iCs/>
        </w:rPr>
        <w:t>In the event of a dispute arising out of this Agreement</w:t>
      </w:r>
      <w:r w:rsidRPr="00D4031A" w:rsidR="00C52FCB">
        <w:rPr>
          <w:rFonts w:ascii="Times New Roman" w:hAnsi="Times New Roman" w:cs="Times New Roman"/>
          <w:i/>
          <w:iCs/>
        </w:rPr>
        <w:t>,</w:t>
      </w:r>
      <w:r w:rsidRPr="00D4031A" w:rsidR="00CB5128">
        <w:rPr>
          <w:rFonts w:ascii="Times New Roman" w:hAnsi="Times New Roman" w:cs="Times New Roman"/>
          <w:i/>
          <w:iCs/>
        </w:rPr>
        <w:t xml:space="preserve"> the </w:t>
      </w:r>
      <w:r w:rsidR="002D613D">
        <w:rPr>
          <w:rFonts w:ascii="Times New Roman" w:hAnsi="Times New Roman" w:cs="Times New Roman"/>
          <w:i/>
          <w:iCs/>
        </w:rPr>
        <w:t>p</w:t>
      </w:r>
      <w:r w:rsidRPr="00D4031A" w:rsidR="00CB5128">
        <w:rPr>
          <w:rFonts w:ascii="Times New Roman" w:hAnsi="Times New Roman" w:cs="Times New Roman"/>
          <w:i/>
          <w:iCs/>
        </w:rPr>
        <w:t xml:space="preserve">revailing </w:t>
      </w:r>
      <w:r w:rsidR="002D613D">
        <w:rPr>
          <w:rFonts w:ascii="Times New Roman" w:hAnsi="Times New Roman" w:cs="Times New Roman"/>
          <w:i/>
          <w:iCs/>
        </w:rPr>
        <w:t>p</w:t>
      </w:r>
      <w:r w:rsidRPr="00D4031A" w:rsidR="00CB5128">
        <w:rPr>
          <w:rFonts w:ascii="Times New Roman" w:hAnsi="Times New Roman" w:cs="Times New Roman"/>
          <w:i/>
          <w:iCs/>
        </w:rPr>
        <w:t>arty will be entitled to recover from the non-prevailing party all reasonable costs, including but not limited to reasonable attorneys</w:t>
      </w:r>
      <w:r w:rsidRPr="00D4031A" w:rsidR="00C52FCB">
        <w:rPr>
          <w:rFonts w:ascii="Times New Roman" w:hAnsi="Times New Roman" w:cs="Times New Roman"/>
          <w:i/>
          <w:iCs/>
        </w:rPr>
        <w:t>’</w:t>
      </w:r>
      <w:r w:rsidRPr="00D4031A" w:rsidR="00CB5128">
        <w:rPr>
          <w:rFonts w:ascii="Times New Roman" w:hAnsi="Times New Roman" w:cs="Times New Roman"/>
          <w:i/>
          <w:iCs/>
        </w:rPr>
        <w:t xml:space="preserve"> fees, incurred by the prevailing party arising from such dispute. </w:t>
      </w:r>
      <w:r w:rsidRPr="00D4031A" w:rsidR="00CB5128">
        <w:rPr>
          <w:rStyle w:val="Emphasis"/>
          <w:rFonts w:ascii="Times New Roman" w:hAnsi="Times New Roman" w:cs="Times New Roman"/>
          <w:i w:val="0"/>
          <w:iCs w:val="0"/>
          <w:color w:val="000000"/>
          <w:shd w:val="clear" w:color="auto" w:fill="FFFFFF"/>
        </w:rPr>
        <w:t>“Prevailing Party” shall be defined (1) as a claimant that is awarded net 51 percent of its affirmative claim, after any offsets for claims or counterclaims by the other party, and (2) as a defendant/respondent against whom a net award of 50 percent or less of a claimant’s claim is granted. In claims for money damages, the total amount of recoverable attorney’s fees and costs shall not exceed the net monetary award of the Prevailing Party.</w:t>
      </w:r>
    </w:p>
    <w:p w:rsidRPr="005774BF" w:rsidR="005774BF" w:rsidP="005774BF" w:rsidRDefault="00AD2B3F" w14:paraId="1BA6EC24" w14:textId="77777777">
      <w:pPr>
        <w:shd w:val="clear" w:color="auto" w:fill="FAFAFA"/>
        <w:spacing w:before="180" w:after="60" w:line="360" w:lineRule="atLeast"/>
        <w:outlineLvl w:val="3"/>
        <w:rPr>
          <w:rFonts w:ascii="Times New Roman" w:hAnsi="Times New Roman" w:eastAsia="Times New Roman" w:cs="Times New Roman"/>
          <w:color w:val="424242"/>
          <w:kern w:val="0"/>
          <w14:ligatures w14:val="none"/>
        </w:rPr>
      </w:pPr>
      <w:r w:rsidRPr="00AD2B3F">
        <w:rPr>
          <w:rFonts w:ascii="Segoe UI" w:hAnsi="Segoe UI" w:eastAsia="Times New Roman" w:cs="Segoe UI"/>
          <w:b/>
          <w:bCs/>
          <w:color w:val="424242"/>
          <w:kern w:val="0"/>
          <w14:ligatures w14:val="none"/>
        </w:rPr>
        <w:t>Recommended Approaches</w:t>
      </w:r>
    </w:p>
    <w:p w:rsidRPr="005774BF" w:rsidR="00AD2B3F" w:rsidP="005774BF" w:rsidRDefault="00AD2B3F" w14:paraId="33C09696" w14:textId="2E95C3F8">
      <w:pPr>
        <w:pStyle w:val="ListParagraph"/>
        <w:numPr>
          <w:ilvl w:val="0"/>
          <w:numId w:val="1"/>
        </w:numPr>
        <w:shd w:val="clear" w:color="auto" w:fill="FAFAFA"/>
        <w:spacing w:before="180" w:after="60" w:line="360" w:lineRule="atLeast"/>
        <w:outlineLvl w:val="3"/>
        <w:rPr>
          <w:rFonts w:ascii="Segoe UI" w:hAnsi="Segoe UI" w:eastAsia="Times New Roman" w:cs="Segoe UI"/>
          <w:color w:val="424242"/>
          <w:kern w:val="0"/>
          <w14:ligatures w14:val="none"/>
        </w:rPr>
      </w:pPr>
      <w:r w:rsidRPr="005774BF">
        <w:rPr>
          <w:rFonts w:ascii="Times New Roman" w:hAnsi="Times New Roman" w:eastAsia="Times New Roman" w:cs="Times New Roman"/>
          <w:color w:val="424242"/>
          <w:kern w:val="0"/>
          <w14:ligatures w14:val="none"/>
        </w:rPr>
        <w:t>Strike the Clause</w:t>
      </w:r>
      <w:r w:rsidRPr="005774BF">
        <w:rPr>
          <w:rFonts w:ascii="Segoe UI" w:hAnsi="Segoe UI" w:eastAsia="Times New Roman" w:cs="Segoe UI"/>
          <w:color w:val="424242"/>
          <w:kern w:val="0"/>
          <w14:ligatures w14:val="none"/>
        </w:rPr>
        <w:t>: The safest option is to remove Prevailing Party clauses entirely.</w:t>
      </w:r>
    </w:p>
    <w:p w:rsidRPr="00AD2B3F" w:rsidR="00AD2B3F" w:rsidP="00AD2B3F" w:rsidRDefault="00AD2B3F" w14:paraId="7E5DC690" w14:textId="77777777">
      <w:pPr>
        <w:numPr>
          <w:ilvl w:val="0"/>
          <w:numId w:val="1"/>
        </w:numPr>
        <w:shd w:val="clear" w:color="auto" w:fill="FAFAFA"/>
        <w:spacing w:before="100" w:beforeAutospacing="1" w:after="100" w:afterAutospacing="1" w:line="240" w:lineRule="auto"/>
        <w:rPr>
          <w:rFonts w:ascii="Segoe UI" w:hAnsi="Segoe UI" w:eastAsia="Times New Roman" w:cs="Segoe UI"/>
          <w:color w:val="424242"/>
          <w:kern w:val="0"/>
          <w14:ligatures w14:val="none"/>
        </w:rPr>
      </w:pPr>
      <w:r w:rsidRPr="00AD2B3F">
        <w:rPr>
          <w:rFonts w:ascii="Segoe UI" w:hAnsi="Segoe UI" w:eastAsia="Times New Roman" w:cs="Segoe UI"/>
          <w:color w:val="424242"/>
          <w:kern w:val="0"/>
          <w14:ligatures w14:val="none"/>
        </w:rPr>
        <w:t>Define “Prevailing Party</w:t>
      </w:r>
      <w:r w:rsidRPr="00AD2B3F">
        <w:rPr>
          <w:rFonts w:ascii="Segoe UI" w:hAnsi="Segoe UI" w:eastAsia="Times New Roman" w:cs="Segoe UI"/>
          <w:b/>
          <w:bCs/>
          <w:color w:val="424242"/>
          <w:kern w:val="0"/>
          <w14:ligatures w14:val="none"/>
        </w:rPr>
        <w:t>”</w:t>
      </w:r>
      <w:r w:rsidRPr="00AD2B3F">
        <w:rPr>
          <w:rFonts w:ascii="Segoe UI" w:hAnsi="Segoe UI" w:eastAsia="Times New Roman" w:cs="Segoe UI"/>
          <w:color w:val="424242"/>
          <w:kern w:val="0"/>
          <w14:ligatures w14:val="none"/>
        </w:rPr>
        <w:t>: If removal isn’t possible, include a clear definition tied to claim percentages and limit recoverable fees to the net award.</w:t>
      </w:r>
    </w:p>
    <w:p w:rsidR="00AD2B3F" w:rsidP="00AD2B3F" w:rsidRDefault="00AD2B3F" w14:paraId="6E978CDA" w14:textId="77777777">
      <w:pPr>
        <w:numPr>
          <w:ilvl w:val="0"/>
          <w:numId w:val="1"/>
        </w:numPr>
        <w:shd w:val="clear" w:color="auto" w:fill="FAFAFA"/>
        <w:spacing w:before="100" w:beforeAutospacing="1" w:after="100" w:afterAutospacing="1" w:line="240" w:lineRule="auto"/>
        <w:rPr>
          <w:rFonts w:ascii="Segoe UI" w:hAnsi="Segoe UI" w:eastAsia="Times New Roman" w:cs="Segoe UI"/>
          <w:color w:val="424242"/>
          <w:kern w:val="0"/>
          <w14:ligatures w14:val="none"/>
        </w:rPr>
      </w:pPr>
      <w:r w:rsidRPr="00AD2B3F">
        <w:rPr>
          <w:rFonts w:ascii="Segoe UI" w:hAnsi="Segoe UI" w:eastAsia="Times New Roman" w:cs="Segoe UI"/>
          <w:color w:val="424242"/>
          <w:kern w:val="0"/>
          <w14:ligatures w14:val="none"/>
        </w:rPr>
        <w:t>Mutual and Insurable Language: Consider clauses that apply only to third-party claims and are contingent on proven negligence and court-awarded costs.</w:t>
      </w:r>
    </w:p>
    <w:p w:rsidRPr="00C2761F" w:rsidR="00AD2B3F" w:rsidP="00C2761F" w:rsidRDefault="000A0C85" w14:paraId="60CE0C99" w14:textId="231E0642">
      <w:pPr>
        <w:numPr>
          <w:ilvl w:val="0"/>
          <w:numId w:val="1"/>
        </w:numPr>
        <w:shd w:val="clear" w:color="auto" w:fill="FAFAFA"/>
        <w:spacing w:before="100" w:beforeAutospacing="1" w:after="100" w:afterAutospacing="1" w:line="240" w:lineRule="auto"/>
        <w:rPr>
          <w:rFonts w:ascii="Times New Roman" w:hAnsi="Times New Roman" w:cs="Times New Roman"/>
          <w:color w:val="000000"/>
          <w:shd w:val="clear" w:color="auto" w:fill="FFFFFF"/>
        </w:rPr>
      </w:pPr>
      <w:r w:rsidRPr="00462E09">
        <w:rPr>
          <w:rFonts w:ascii="Segoe UI" w:hAnsi="Segoe UI" w:eastAsia="Times New Roman" w:cs="Segoe UI"/>
          <w:color w:val="424242"/>
          <w:kern w:val="0"/>
          <w14:ligatures w14:val="none"/>
        </w:rPr>
        <w:t>Discuss with your professional liability broker.</w:t>
      </w:r>
    </w:p>
    <w:sectPr w:rsidRPr="00C2761F" w:rsidR="00AD2B3F" w:rsidSect="008143A0">
      <w:pgSz w:w="12240" w:h="15840" w:orient="portrait"/>
      <w:pgMar w:top="720" w:right="720" w:bottom="720" w:left="720" w:header="742" w:footer="496" w:gutter="0"/>
      <w:pgNumType w:start="2"/>
      <w:cols w:space="720"/>
      <w:headerReference w:type="default" r:id="R1833afc6bf8f4e9c"/>
      <w:footerReference w:type="default" r:id="R78eebec876774dd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8BC" w:rsidP="003A1677" w:rsidRDefault="006D58BC" w14:paraId="41EA56F5" w14:textId="77777777">
      <w:pPr>
        <w:spacing w:after="0" w:line="240" w:lineRule="auto"/>
      </w:pPr>
      <w:r>
        <w:separator/>
      </w:r>
    </w:p>
  </w:endnote>
  <w:endnote w:type="continuationSeparator" w:id="0">
    <w:p w:rsidR="006D58BC" w:rsidP="003A1677" w:rsidRDefault="006D58BC" w14:paraId="4215DC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DCF788" w:rsidTr="5BDCF788" w14:paraId="39E5912D">
      <w:trPr>
        <w:trHeight w:val="300"/>
      </w:trPr>
      <w:tc>
        <w:tcPr>
          <w:tcW w:w="3120" w:type="dxa"/>
          <w:tcMar/>
        </w:tcPr>
        <w:p w:rsidR="5BDCF788" w:rsidP="5BDCF788" w:rsidRDefault="5BDCF788" w14:paraId="79E24F60" w14:textId="1653D0AD">
          <w:pPr>
            <w:pStyle w:val="Header"/>
            <w:bidi w:val="0"/>
            <w:ind w:left="-115"/>
            <w:jc w:val="left"/>
          </w:pPr>
        </w:p>
      </w:tc>
      <w:tc>
        <w:tcPr>
          <w:tcW w:w="3120" w:type="dxa"/>
          <w:tcMar/>
        </w:tcPr>
        <w:p w:rsidR="5BDCF788" w:rsidP="5BDCF788" w:rsidRDefault="5BDCF788" w14:paraId="3C080637" w14:textId="2B51184D">
          <w:pPr>
            <w:pStyle w:val="Header"/>
            <w:bidi w:val="0"/>
            <w:jc w:val="center"/>
          </w:pPr>
        </w:p>
      </w:tc>
      <w:tc>
        <w:tcPr>
          <w:tcW w:w="3120" w:type="dxa"/>
          <w:tcMar/>
        </w:tcPr>
        <w:p w:rsidR="5BDCF788" w:rsidP="5BDCF788" w:rsidRDefault="5BDCF788" w14:paraId="40BAA5F5" w14:textId="688B7272">
          <w:pPr>
            <w:pStyle w:val="Header"/>
            <w:bidi w:val="0"/>
            <w:ind w:right="-115"/>
            <w:jc w:val="right"/>
          </w:pPr>
        </w:p>
      </w:tc>
    </w:tr>
  </w:tbl>
  <w:p w:rsidR="5BDCF788" w:rsidP="5BDCF788" w:rsidRDefault="5BDCF788" w14:paraId="779AE526" w14:textId="2F5DB2A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8BC" w:rsidP="003A1677" w:rsidRDefault="006D58BC" w14:paraId="6AA008E0" w14:textId="77777777">
      <w:pPr>
        <w:spacing w:after="0" w:line="240" w:lineRule="auto"/>
      </w:pPr>
      <w:r>
        <w:separator/>
      </w:r>
    </w:p>
  </w:footnote>
  <w:footnote w:type="continuationSeparator" w:id="0">
    <w:p w:rsidR="006D58BC" w:rsidP="003A1677" w:rsidRDefault="006D58BC" w14:paraId="36566027"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10110"/>
      <w:gridCol w:w="345"/>
    </w:tblGrid>
    <w:tr w:rsidR="5BDCF788" w:rsidTr="5BDCF788" w14:paraId="2A38896E">
      <w:trPr>
        <w:trHeight w:val="300"/>
      </w:trPr>
      <w:tc>
        <w:tcPr>
          <w:tcW w:w="345" w:type="dxa"/>
          <w:tcMar/>
        </w:tcPr>
        <w:p w:rsidR="5BDCF788" w:rsidP="5BDCF788" w:rsidRDefault="5BDCF788" w14:paraId="3E5BEA51" w14:textId="17522F07">
          <w:pPr>
            <w:pStyle w:val="Header"/>
            <w:bidi w:val="0"/>
            <w:ind w:left="-115"/>
            <w:jc w:val="left"/>
          </w:pPr>
        </w:p>
      </w:tc>
      <w:tc>
        <w:tcPr>
          <w:tcW w:w="10110" w:type="dxa"/>
          <w:tcMar/>
        </w:tcPr>
        <w:p w:rsidR="5BDCF788" w:rsidP="5BDCF788" w:rsidRDefault="5BDCF788" w14:paraId="4E9D816F" w14:textId="122F10F4">
          <w:pPr>
            <w:pStyle w:val="Normal"/>
            <w:suppressLineNumbers w:val="0"/>
            <w:bidi w:val="0"/>
            <w:jc w:val="left"/>
          </w:pPr>
          <w:r w:rsidR="5BDCF788">
            <w:rPr/>
            <w:t xml:space="preserve">                 </w:t>
          </w:r>
          <w:r w:rsidR="5BDCF788">
            <w:drawing>
              <wp:inline wp14:editId="037AC063" wp14:anchorId="10BE6D23">
                <wp:extent cx="5439433" cy="1457995"/>
                <wp:effectExtent l="0" t="0" r="0" b="0"/>
                <wp:docPr id="708088188" name="drawing" descr="A black and white sign with a red lin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2112058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0743662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439433" cy="1457995"/>
                        </a:xfrm>
                        <a:prstGeom xmlns:a="http://schemas.openxmlformats.org/drawingml/2006/main" prst="rect">
                          <a:avLst xmlns:a="http://schemas.openxmlformats.org/drawingml/2006/main"/>
                        </a:prstGeom>
                      </pic:spPr>
                    </pic:pic>
                  </a:graphicData>
                </a:graphic>
              </wp:inline>
            </w:drawing>
          </w:r>
        </w:p>
      </w:tc>
      <w:tc>
        <w:tcPr>
          <w:tcW w:w="345" w:type="dxa"/>
          <w:tcMar/>
        </w:tcPr>
        <w:p w:rsidR="5BDCF788" w:rsidP="5BDCF788" w:rsidRDefault="5BDCF788" w14:paraId="2876FF81" w14:textId="73626121">
          <w:pPr>
            <w:pStyle w:val="Header"/>
            <w:bidi w:val="0"/>
            <w:ind w:right="-115"/>
            <w:jc w:val="right"/>
          </w:pPr>
        </w:p>
      </w:tc>
    </w:tr>
  </w:tbl>
  <w:p w:rsidR="5BDCF788" w:rsidP="5BDCF788" w:rsidRDefault="5BDCF788" w14:paraId="18690867" w14:textId="12F8D9A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47A5E"/>
    <w:multiLevelType w:val="multilevel"/>
    <w:tmpl w:val="5DF4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09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trackRevisions w:val="false"/>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B3"/>
    <w:rsid w:val="0001539A"/>
    <w:rsid w:val="000277DC"/>
    <w:rsid w:val="000302E8"/>
    <w:rsid w:val="00037596"/>
    <w:rsid w:val="00051986"/>
    <w:rsid w:val="0006690D"/>
    <w:rsid w:val="0007349A"/>
    <w:rsid w:val="00084F2C"/>
    <w:rsid w:val="00087D5B"/>
    <w:rsid w:val="000955C9"/>
    <w:rsid w:val="00097A03"/>
    <w:rsid w:val="000A0C85"/>
    <w:rsid w:val="000A4C67"/>
    <w:rsid w:val="000A7DBE"/>
    <w:rsid w:val="000C276E"/>
    <w:rsid w:val="000D1180"/>
    <w:rsid w:val="000D2104"/>
    <w:rsid w:val="000D5C71"/>
    <w:rsid w:val="000F2C35"/>
    <w:rsid w:val="0011329E"/>
    <w:rsid w:val="001163BD"/>
    <w:rsid w:val="0011675E"/>
    <w:rsid w:val="001202E3"/>
    <w:rsid w:val="00127BEB"/>
    <w:rsid w:val="001313DA"/>
    <w:rsid w:val="00136E30"/>
    <w:rsid w:val="001472F9"/>
    <w:rsid w:val="0014759B"/>
    <w:rsid w:val="00154D69"/>
    <w:rsid w:val="00182BFD"/>
    <w:rsid w:val="001869E0"/>
    <w:rsid w:val="001A58E4"/>
    <w:rsid w:val="001C688E"/>
    <w:rsid w:val="001D167C"/>
    <w:rsid w:val="001F28CD"/>
    <w:rsid w:val="001F4140"/>
    <w:rsid w:val="002062DF"/>
    <w:rsid w:val="00212187"/>
    <w:rsid w:val="0022084A"/>
    <w:rsid w:val="00223CF2"/>
    <w:rsid w:val="00233641"/>
    <w:rsid w:val="00244295"/>
    <w:rsid w:val="00254D4C"/>
    <w:rsid w:val="00262314"/>
    <w:rsid w:val="00264565"/>
    <w:rsid w:val="002778A3"/>
    <w:rsid w:val="002B33C4"/>
    <w:rsid w:val="002B34E3"/>
    <w:rsid w:val="002D0B9D"/>
    <w:rsid w:val="002D1D42"/>
    <w:rsid w:val="002D613D"/>
    <w:rsid w:val="002E2FE4"/>
    <w:rsid w:val="002F7822"/>
    <w:rsid w:val="003149D6"/>
    <w:rsid w:val="0032209A"/>
    <w:rsid w:val="003227C5"/>
    <w:rsid w:val="00340B22"/>
    <w:rsid w:val="003439D2"/>
    <w:rsid w:val="0037249B"/>
    <w:rsid w:val="00376BC1"/>
    <w:rsid w:val="003A1677"/>
    <w:rsid w:val="003A6C3D"/>
    <w:rsid w:val="003B3801"/>
    <w:rsid w:val="003D013C"/>
    <w:rsid w:val="003E4933"/>
    <w:rsid w:val="003E633A"/>
    <w:rsid w:val="003F2611"/>
    <w:rsid w:val="004061EF"/>
    <w:rsid w:val="00412259"/>
    <w:rsid w:val="00416E02"/>
    <w:rsid w:val="00431747"/>
    <w:rsid w:val="004340EF"/>
    <w:rsid w:val="00462E09"/>
    <w:rsid w:val="004D532A"/>
    <w:rsid w:val="004F0E3E"/>
    <w:rsid w:val="004F36D9"/>
    <w:rsid w:val="00553533"/>
    <w:rsid w:val="00557898"/>
    <w:rsid w:val="00574F0B"/>
    <w:rsid w:val="005774BF"/>
    <w:rsid w:val="005865B3"/>
    <w:rsid w:val="005C2D2C"/>
    <w:rsid w:val="005D57D9"/>
    <w:rsid w:val="005E1B5F"/>
    <w:rsid w:val="005E4954"/>
    <w:rsid w:val="005F72D5"/>
    <w:rsid w:val="00667080"/>
    <w:rsid w:val="00675792"/>
    <w:rsid w:val="006808F0"/>
    <w:rsid w:val="006A3FFE"/>
    <w:rsid w:val="006A4F98"/>
    <w:rsid w:val="006D3825"/>
    <w:rsid w:val="006D58BC"/>
    <w:rsid w:val="006E7E50"/>
    <w:rsid w:val="00714D35"/>
    <w:rsid w:val="00715309"/>
    <w:rsid w:val="00717785"/>
    <w:rsid w:val="00723EDE"/>
    <w:rsid w:val="0074632B"/>
    <w:rsid w:val="0075553B"/>
    <w:rsid w:val="00770DD1"/>
    <w:rsid w:val="0077113D"/>
    <w:rsid w:val="007B70DA"/>
    <w:rsid w:val="007C2ACE"/>
    <w:rsid w:val="007F7B4E"/>
    <w:rsid w:val="007F7F08"/>
    <w:rsid w:val="00812ABC"/>
    <w:rsid w:val="008143A0"/>
    <w:rsid w:val="00821AF8"/>
    <w:rsid w:val="00826557"/>
    <w:rsid w:val="00831517"/>
    <w:rsid w:val="00865FF3"/>
    <w:rsid w:val="00871FF7"/>
    <w:rsid w:val="008725D8"/>
    <w:rsid w:val="008818D8"/>
    <w:rsid w:val="008C2DB6"/>
    <w:rsid w:val="008F15ED"/>
    <w:rsid w:val="00912377"/>
    <w:rsid w:val="00922262"/>
    <w:rsid w:val="00930DEC"/>
    <w:rsid w:val="0093299D"/>
    <w:rsid w:val="00943092"/>
    <w:rsid w:val="009465C8"/>
    <w:rsid w:val="009528E8"/>
    <w:rsid w:val="00977EDE"/>
    <w:rsid w:val="009A695C"/>
    <w:rsid w:val="009B1904"/>
    <w:rsid w:val="009B2D4E"/>
    <w:rsid w:val="009F3BC4"/>
    <w:rsid w:val="009F3FF7"/>
    <w:rsid w:val="00A029D4"/>
    <w:rsid w:val="00AC0216"/>
    <w:rsid w:val="00AC77B4"/>
    <w:rsid w:val="00AD2B3F"/>
    <w:rsid w:val="00AD4689"/>
    <w:rsid w:val="00AD53BF"/>
    <w:rsid w:val="00AF02E9"/>
    <w:rsid w:val="00B018AF"/>
    <w:rsid w:val="00B2019E"/>
    <w:rsid w:val="00B27707"/>
    <w:rsid w:val="00B37BDC"/>
    <w:rsid w:val="00B55CF7"/>
    <w:rsid w:val="00B911A4"/>
    <w:rsid w:val="00BA250D"/>
    <w:rsid w:val="00BA5D40"/>
    <w:rsid w:val="00BD607E"/>
    <w:rsid w:val="00BE7F33"/>
    <w:rsid w:val="00C05BE2"/>
    <w:rsid w:val="00C2761F"/>
    <w:rsid w:val="00C52FCB"/>
    <w:rsid w:val="00C55F7E"/>
    <w:rsid w:val="00C80B0B"/>
    <w:rsid w:val="00C87F50"/>
    <w:rsid w:val="00C9183F"/>
    <w:rsid w:val="00C952A1"/>
    <w:rsid w:val="00CB18B9"/>
    <w:rsid w:val="00CB5128"/>
    <w:rsid w:val="00CC1E6E"/>
    <w:rsid w:val="00CE6484"/>
    <w:rsid w:val="00CF37FF"/>
    <w:rsid w:val="00CF572B"/>
    <w:rsid w:val="00D1076F"/>
    <w:rsid w:val="00D237D0"/>
    <w:rsid w:val="00D4031A"/>
    <w:rsid w:val="00D514BC"/>
    <w:rsid w:val="00D52867"/>
    <w:rsid w:val="00D76209"/>
    <w:rsid w:val="00DD47D7"/>
    <w:rsid w:val="00DE5CB7"/>
    <w:rsid w:val="00DE6AD1"/>
    <w:rsid w:val="00E17323"/>
    <w:rsid w:val="00E21E0B"/>
    <w:rsid w:val="00E26919"/>
    <w:rsid w:val="00E56AA8"/>
    <w:rsid w:val="00E92E97"/>
    <w:rsid w:val="00E95C86"/>
    <w:rsid w:val="00E95E35"/>
    <w:rsid w:val="00E9609F"/>
    <w:rsid w:val="00EA48B5"/>
    <w:rsid w:val="00EA7282"/>
    <w:rsid w:val="00EF50DB"/>
    <w:rsid w:val="00F00F07"/>
    <w:rsid w:val="00F04D15"/>
    <w:rsid w:val="00F064C3"/>
    <w:rsid w:val="00FB4185"/>
    <w:rsid w:val="00FB6679"/>
    <w:rsid w:val="00FC25F3"/>
    <w:rsid w:val="00FC3121"/>
    <w:rsid w:val="00FF564C"/>
    <w:rsid w:val="07C4AB13"/>
    <w:rsid w:val="0B218818"/>
    <w:rsid w:val="1D424BC8"/>
    <w:rsid w:val="5BDCF788"/>
    <w:rsid w:val="734A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80951"/>
  <w15:chartTrackingRefBased/>
  <w15:docId w15:val="{E5EC64BE-4085-B243-9621-7175781F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65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5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6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6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5B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65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65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865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865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65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65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65B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65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65B3"/>
    <w:rPr>
      <w:rFonts w:eastAsiaTheme="majorEastAsia" w:cstheme="majorBidi"/>
      <w:color w:val="272727" w:themeColor="text1" w:themeTint="D8"/>
    </w:rPr>
  </w:style>
  <w:style w:type="paragraph" w:styleId="Title">
    <w:name w:val="Title"/>
    <w:basedOn w:val="Normal"/>
    <w:next w:val="Normal"/>
    <w:link w:val="TitleChar"/>
    <w:uiPriority w:val="10"/>
    <w:qFormat/>
    <w:rsid w:val="005865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65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65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6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5B3"/>
    <w:pPr>
      <w:spacing w:before="160"/>
      <w:jc w:val="center"/>
    </w:pPr>
    <w:rPr>
      <w:i/>
      <w:iCs/>
      <w:color w:val="404040" w:themeColor="text1" w:themeTint="BF"/>
    </w:rPr>
  </w:style>
  <w:style w:type="character" w:styleId="QuoteChar" w:customStyle="1">
    <w:name w:val="Quote Char"/>
    <w:basedOn w:val="DefaultParagraphFont"/>
    <w:link w:val="Quote"/>
    <w:uiPriority w:val="29"/>
    <w:rsid w:val="005865B3"/>
    <w:rPr>
      <w:i/>
      <w:iCs/>
      <w:color w:val="404040" w:themeColor="text1" w:themeTint="BF"/>
    </w:rPr>
  </w:style>
  <w:style w:type="paragraph" w:styleId="ListParagraph">
    <w:name w:val="List Paragraph"/>
    <w:basedOn w:val="Normal"/>
    <w:uiPriority w:val="34"/>
    <w:qFormat/>
    <w:rsid w:val="005865B3"/>
    <w:pPr>
      <w:ind w:left="720"/>
      <w:contextualSpacing/>
    </w:pPr>
  </w:style>
  <w:style w:type="character" w:styleId="IntenseEmphasis">
    <w:name w:val="Intense Emphasis"/>
    <w:basedOn w:val="DefaultParagraphFont"/>
    <w:uiPriority w:val="21"/>
    <w:qFormat/>
    <w:rsid w:val="005865B3"/>
    <w:rPr>
      <w:i/>
      <w:iCs/>
      <w:color w:val="0F4761" w:themeColor="accent1" w:themeShade="BF"/>
    </w:rPr>
  </w:style>
  <w:style w:type="paragraph" w:styleId="IntenseQuote">
    <w:name w:val="Intense Quote"/>
    <w:basedOn w:val="Normal"/>
    <w:next w:val="Normal"/>
    <w:link w:val="IntenseQuoteChar"/>
    <w:uiPriority w:val="30"/>
    <w:qFormat/>
    <w:rsid w:val="005865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65B3"/>
    <w:rPr>
      <w:i/>
      <w:iCs/>
      <w:color w:val="0F4761" w:themeColor="accent1" w:themeShade="BF"/>
    </w:rPr>
  </w:style>
  <w:style w:type="character" w:styleId="IntenseReference">
    <w:name w:val="Intense Reference"/>
    <w:basedOn w:val="DefaultParagraphFont"/>
    <w:uiPriority w:val="32"/>
    <w:qFormat/>
    <w:rsid w:val="005865B3"/>
    <w:rPr>
      <w:b/>
      <w:bCs/>
      <w:smallCaps/>
      <w:color w:val="0F4761" w:themeColor="accent1" w:themeShade="BF"/>
      <w:spacing w:val="5"/>
    </w:rPr>
  </w:style>
  <w:style w:type="paragraph" w:styleId="NormalWeb">
    <w:name w:val="Normal (Web)"/>
    <w:basedOn w:val="Normal"/>
    <w:uiPriority w:val="99"/>
    <w:semiHidden/>
    <w:unhideWhenUsed/>
    <w:rsid w:val="00254D4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254D4C"/>
    <w:rPr>
      <w:i/>
      <w:iCs/>
    </w:rPr>
  </w:style>
  <w:style w:type="paragraph" w:styleId="BodyText">
    <w:name w:val="Body Text"/>
    <w:basedOn w:val="Normal"/>
    <w:link w:val="BodyTextChar"/>
    <w:uiPriority w:val="99"/>
    <w:semiHidden/>
    <w:unhideWhenUsed/>
    <w:rsid w:val="00C2761F"/>
    <w:pPr>
      <w:spacing w:after="120"/>
    </w:pPr>
  </w:style>
  <w:style w:type="character" w:styleId="BodyTextChar" w:customStyle="1">
    <w:name w:val="Body Text Char"/>
    <w:basedOn w:val="DefaultParagraphFont"/>
    <w:link w:val="BodyText"/>
    <w:uiPriority w:val="99"/>
    <w:semiHidden/>
    <w:rsid w:val="00C2761F"/>
  </w:style>
  <w:style w:type="paragraph" w:styleId="Header">
    <w:name w:val="header"/>
    <w:basedOn w:val="Normal"/>
    <w:link w:val="HeaderChar"/>
    <w:uiPriority w:val="99"/>
    <w:unhideWhenUsed/>
    <w:rsid w:val="003A16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A1677"/>
  </w:style>
  <w:style w:type="paragraph" w:styleId="Footer">
    <w:name w:val="footer"/>
    <w:basedOn w:val="Normal"/>
    <w:link w:val="FooterChar"/>
    <w:uiPriority w:val="99"/>
    <w:unhideWhenUsed/>
    <w:rsid w:val="003A16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A1677"/>
  </w:style>
  <w:style w:type="character" w:styleId="Strong">
    <w:name w:val="Strong"/>
    <w:basedOn w:val="DefaultParagraphFont"/>
    <w:uiPriority w:val="22"/>
    <w:qFormat/>
    <w:rsid w:val="00AD2B3F"/>
    <w:rPr>
      <w:b/>
      <w:bCs/>
    </w:rPr>
  </w:style>
  <w:style w:type="character" w:styleId="PageNumber">
    <w:name w:val="page number"/>
    <w:basedOn w:val="DefaultParagraphFont"/>
    <w:uiPriority w:val="99"/>
    <w:semiHidden/>
    <w:unhideWhenUsed/>
    <w:rsid w:val="00CF37F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eader" Target="header.xml" Id="R1833afc6bf8f4e9c" /><Relationship Type="http://schemas.openxmlformats.org/officeDocument/2006/relationships/footer" Target="footer.xml" Id="R78eebec876774dd5" /></Relationships>
</file>

<file path=word/_rels/header.xml.rels>&#65279;<?xml version="1.0" encoding="utf-8"?><Relationships xmlns="http://schemas.openxmlformats.org/package/2006/relationships"><Relationship Type="http://schemas.openxmlformats.org/officeDocument/2006/relationships/image" Target="/media/image.png" Id="rId4074366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581f08c35699d1e4b8af02b37507de0b">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25939ee69992e5db503c647b3db05bc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DA643032-F2E9-43B6-B9D8-5F15D7BAC6AC}"/>
</file>

<file path=customXml/itemProps2.xml><?xml version="1.0" encoding="utf-8"?>
<ds:datastoreItem xmlns:ds="http://schemas.openxmlformats.org/officeDocument/2006/customXml" ds:itemID="{1F505341-3E00-45DF-A699-6E4E8916B28D}"/>
</file>

<file path=customXml/itemProps3.xml><?xml version="1.0" encoding="utf-8"?>
<ds:datastoreItem xmlns:ds="http://schemas.openxmlformats.org/officeDocument/2006/customXml" ds:itemID="{51525644-0659-4D91-AE28-D7C297FB55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RPG</dc:creator>
  <keywords/>
  <dc:description/>
  <lastModifiedBy>Haley Londrigan</lastModifiedBy>
  <revision>42</revision>
  <lastPrinted>2025-08-25T17:39:00.0000000Z</lastPrinted>
  <dcterms:created xsi:type="dcterms:W3CDTF">2025-08-25T16:55:00.0000000Z</dcterms:created>
  <dcterms:modified xsi:type="dcterms:W3CDTF">2025-08-27T16:34:29.8806811Z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